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716AA" w14:textId="123306D3" w:rsidR="00BB34AC" w:rsidRPr="000658F0" w:rsidRDefault="008B4E54">
      <w:pPr>
        <w:rPr>
          <w:rFonts w:ascii="Garamond" w:hAnsi="Garamond"/>
          <w:b/>
          <w:bCs/>
          <w:sz w:val="32"/>
          <w:szCs w:val="32"/>
        </w:rPr>
      </w:pPr>
      <w:r w:rsidRPr="000658F0">
        <w:rPr>
          <w:rFonts w:ascii="Garamond" w:hAnsi="Garamond"/>
          <w:b/>
          <w:bCs/>
          <w:sz w:val="32"/>
          <w:szCs w:val="32"/>
        </w:rPr>
        <w:t>Liberty and Liberalism, IB</w:t>
      </w:r>
      <w:r w:rsidR="00BB34AC" w:rsidRPr="000658F0">
        <w:rPr>
          <w:rFonts w:ascii="Garamond" w:hAnsi="Garamond"/>
          <w:b/>
          <w:bCs/>
          <w:sz w:val="32"/>
          <w:szCs w:val="32"/>
        </w:rPr>
        <w:t xml:space="preserve"> Political Philosophy</w:t>
      </w:r>
    </w:p>
    <w:p w14:paraId="7C2AFCD0" w14:textId="50082BDD" w:rsidR="00BB34AC" w:rsidRPr="000658F0" w:rsidRDefault="00BB34AC">
      <w:pPr>
        <w:rPr>
          <w:rFonts w:ascii="Garamond" w:hAnsi="Garamond"/>
          <w:sz w:val="32"/>
          <w:szCs w:val="32"/>
        </w:rPr>
      </w:pPr>
      <w:r w:rsidRPr="000658F0">
        <w:rPr>
          <w:rFonts w:ascii="Garamond" w:hAnsi="Garamond"/>
          <w:sz w:val="32"/>
          <w:szCs w:val="32"/>
        </w:rPr>
        <w:t xml:space="preserve">Lecture </w:t>
      </w:r>
      <w:r w:rsidR="007C14DC">
        <w:rPr>
          <w:rFonts w:ascii="Garamond" w:hAnsi="Garamond"/>
          <w:sz w:val="32"/>
          <w:szCs w:val="32"/>
        </w:rPr>
        <w:t>4</w:t>
      </w:r>
      <w:r w:rsidR="008F720A">
        <w:rPr>
          <w:rFonts w:ascii="Garamond" w:hAnsi="Garamond"/>
          <w:sz w:val="32"/>
          <w:szCs w:val="32"/>
        </w:rPr>
        <w:t xml:space="preserve">: </w:t>
      </w:r>
      <w:r w:rsidR="007B1839">
        <w:rPr>
          <w:rFonts w:ascii="Garamond" w:hAnsi="Garamond"/>
          <w:sz w:val="32"/>
          <w:szCs w:val="32"/>
        </w:rPr>
        <w:t>Liberal Feminism</w:t>
      </w:r>
    </w:p>
    <w:p w14:paraId="464CACFC" w14:textId="77777777" w:rsidR="00BB34AC" w:rsidRPr="000658F0" w:rsidRDefault="00BB34AC">
      <w:pPr>
        <w:rPr>
          <w:rFonts w:ascii="Garamond" w:hAnsi="Garamond"/>
          <w:sz w:val="28"/>
          <w:szCs w:val="28"/>
        </w:rPr>
      </w:pPr>
    </w:p>
    <w:p w14:paraId="1333D123" w14:textId="2A46CC15" w:rsidR="00234CE7" w:rsidRPr="00234CE7" w:rsidRDefault="009B3821" w:rsidP="00234CE7">
      <w:pPr>
        <w:pStyle w:val="ListParagraph"/>
        <w:numPr>
          <w:ilvl w:val="0"/>
          <w:numId w:val="1"/>
        </w:numPr>
        <w:rPr>
          <w:rFonts w:ascii="Garamond" w:hAnsi="Garamond"/>
          <w:b/>
          <w:bCs/>
          <w:sz w:val="28"/>
          <w:szCs w:val="28"/>
        </w:rPr>
      </w:pPr>
      <w:r w:rsidRPr="000658F0">
        <w:rPr>
          <w:rFonts w:ascii="Garamond" w:hAnsi="Garamond"/>
          <w:b/>
          <w:bCs/>
          <w:sz w:val="28"/>
          <w:szCs w:val="28"/>
        </w:rPr>
        <w:t>Introduction</w:t>
      </w:r>
    </w:p>
    <w:p w14:paraId="4B3D2BBF" w14:textId="5DDA52F4" w:rsidR="00E92D80" w:rsidRDefault="007B1839" w:rsidP="007B1839">
      <w:pPr>
        <w:pStyle w:val="ListParagraph"/>
        <w:numPr>
          <w:ilvl w:val="1"/>
          <w:numId w:val="1"/>
        </w:numPr>
        <w:rPr>
          <w:rFonts w:ascii="Garamond" w:hAnsi="Garamond"/>
          <w:sz w:val="28"/>
          <w:szCs w:val="28"/>
        </w:rPr>
      </w:pPr>
      <w:r>
        <w:rPr>
          <w:rFonts w:ascii="Garamond" w:hAnsi="Garamond"/>
          <w:sz w:val="28"/>
          <w:szCs w:val="28"/>
        </w:rPr>
        <w:t>Should feminists be liberals?</w:t>
      </w:r>
    </w:p>
    <w:p w14:paraId="5E7E2775" w14:textId="4FC6D556" w:rsidR="007B1839" w:rsidRDefault="007B1839" w:rsidP="007B1839">
      <w:pPr>
        <w:pStyle w:val="ListParagraph"/>
        <w:numPr>
          <w:ilvl w:val="1"/>
          <w:numId w:val="1"/>
        </w:numPr>
        <w:rPr>
          <w:rFonts w:ascii="Garamond" w:hAnsi="Garamond"/>
          <w:sz w:val="28"/>
          <w:szCs w:val="28"/>
        </w:rPr>
      </w:pPr>
      <w:r>
        <w:rPr>
          <w:rFonts w:ascii="Garamond" w:hAnsi="Garamond"/>
          <w:sz w:val="28"/>
          <w:szCs w:val="28"/>
        </w:rPr>
        <w:t xml:space="preserve">Longstanding critiques: impartiality, exploitation, failure to recognise intersectionality, </w:t>
      </w:r>
      <w:r w:rsidR="00F35F84">
        <w:rPr>
          <w:rFonts w:ascii="Garamond" w:hAnsi="Garamond"/>
          <w:sz w:val="28"/>
          <w:szCs w:val="28"/>
        </w:rPr>
        <w:t>historical record.</w:t>
      </w:r>
    </w:p>
    <w:p w14:paraId="01F6ED3F" w14:textId="160BA5DC" w:rsidR="00C25D04" w:rsidRDefault="00C25D04" w:rsidP="007B1839">
      <w:pPr>
        <w:pStyle w:val="ListParagraph"/>
        <w:numPr>
          <w:ilvl w:val="1"/>
          <w:numId w:val="1"/>
        </w:numPr>
        <w:rPr>
          <w:rFonts w:ascii="Garamond" w:hAnsi="Garamond"/>
          <w:sz w:val="28"/>
          <w:szCs w:val="28"/>
        </w:rPr>
      </w:pPr>
      <w:r>
        <w:rPr>
          <w:rFonts w:ascii="Garamond" w:hAnsi="Garamond"/>
          <w:sz w:val="28"/>
          <w:szCs w:val="28"/>
        </w:rPr>
        <w:t xml:space="preserve">Exploring </w:t>
      </w:r>
      <w:r w:rsidR="00EB5994">
        <w:rPr>
          <w:rFonts w:ascii="Garamond" w:hAnsi="Garamond"/>
          <w:sz w:val="28"/>
          <w:szCs w:val="28"/>
        </w:rPr>
        <w:t xml:space="preserve">the merits of </w:t>
      </w:r>
      <w:r>
        <w:rPr>
          <w:rFonts w:ascii="Garamond" w:hAnsi="Garamond"/>
          <w:sz w:val="28"/>
          <w:szCs w:val="28"/>
        </w:rPr>
        <w:t>political liberalism from a feminist perspective.</w:t>
      </w:r>
    </w:p>
    <w:p w14:paraId="1C6874FD" w14:textId="77777777" w:rsidR="00F20F39" w:rsidRPr="00F20F39" w:rsidRDefault="00F20F39" w:rsidP="00F20F39">
      <w:pPr>
        <w:rPr>
          <w:rFonts w:ascii="Garamond" w:hAnsi="Garamond"/>
          <w:b/>
          <w:bCs/>
          <w:sz w:val="28"/>
          <w:szCs w:val="28"/>
        </w:rPr>
      </w:pPr>
    </w:p>
    <w:p w14:paraId="568DB7E7" w14:textId="26ACB133" w:rsidR="004A6068" w:rsidRPr="000236D4" w:rsidRDefault="00F20F39" w:rsidP="004A6068">
      <w:pPr>
        <w:pStyle w:val="ListParagraph"/>
        <w:numPr>
          <w:ilvl w:val="0"/>
          <w:numId w:val="1"/>
        </w:numPr>
        <w:rPr>
          <w:rFonts w:ascii="Garamond" w:hAnsi="Garamond"/>
          <w:b/>
          <w:bCs/>
          <w:sz w:val="28"/>
          <w:szCs w:val="28"/>
        </w:rPr>
      </w:pPr>
      <w:r>
        <w:rPr>
          <w:rFonts w:ascii="Garamond" w:hAnsi="Garamond"/>
          <w:b/>
          <w:bCs/>
          <w:sz w:val="28"/>
          <w:szCs w:val="28"/>
        </w:rPr>
        <w:t>Feminist Critiques of Liberalism 1: The Family</w:t>
      </w:r>
    </w:p>
    <w:p w14:paraId="1A312863" w14:textId="52AF0201" w:rsidR="00F574F0" w:rsidRPr="00566179" w:rsidRDefault="00F20F39" w:rsidP="00F20F39">
      <w:pPr>
        <w:pStyle w:val="ListParagraph"/>
        <w:numPr>
          <w:ilvl w:val="1"/>
          <w:numId w:val="1"/>
        </w:numPr>
        <w:rPr>
          <w:rFonts w:ascii="Garamond" w:hAnsi="Garamond"/>
          <w:b/>
          <w:bCs/>
          <w:sz w:val="28"/>
          <w:szCs w:val="28"/>
        </w:rPr>
      </w:pPr>
      <w:r>
        <w:rPr>
          <w:rFonts w:ascii="Garamond" w:hAnsi="Garamond"/>
          <w:sz w:val="28"/>
          <w:szCs w:val="28"/>
        </w:rPr>
        <w:t xml:space="preserve">Attending to the power relations within the family, and the broader social significance of family structures and norms, is a central feminist commitment. </w:t>
      </w:r>
    </w:p>
    <w:p w14:paraId="5C5BB1E1" w14:textId="785CD3F6" w:rsidR="00566179" w:rsidRPr="004414CB" w:rsidRDefault="00566179" w:rsidP="00F20F39">
      <w:pPr>
        <w:pStyle w:val="ListParagraph"/>
        <w:numPr>
          <w:ilvl w:val="1"/>
          <w:numId w:val="1"/>
        </w:numPr>
        <w:rPr>
          <w:rFonts w:ascii="Garamond" w:hAnsi="Garamond"/>
          <w:b/>
          <w:bCs/>
          <w:sz w:val="28"/>
          <w:szCs w:val="28"/>
        </w:rPr>
      </w:pPr>
      <w:r>
        <w:rPr>
          <w:rFonts w:ascii="Garamond" w:hAnsi="Garamond"/>
          <w:sz w:val="28"/>
          <w:szCs w:val="28"/>
        </w:rPr>
        <w:t xml:space="preserve">Critical of public/private divide, which liberals have generally adopted. </w:t>
      </w:r>
    </w:p>
    <w:p w14:paraId="591B422F" w14:textId="17309235" w:rsidR="004414CB" w:rsidRPr="004414CB" w:rsidRDefault="004414CB" w:rsidP="00F20F39">
      <w:pPr>
        <w:pStyle w:val="ListParagraph"/>
        <w:numPr>
          <w:ilvl w:val="1"/>
          <w:numId w:val="1"/>
        </w:numPr>
        <w:rPr>
          <w:rFonts w:ascii="Garamond" w:hAnsi="Garamond"/>
          <w:b/>
          <w:bCs/>
          <w:sz w:val="28"/>
          <w:szCs w:val="28"/>
        </w:rPr>
      </w:pPr>
      <w:r>
        <w:rPr>
          <w:rFonts w:ascii="Garamond" w:hAnsi="Garamond"/>
          <w:sz w:val="28"/>
          <w:szCs w:val="28"/>
        </w:rPr>
        <w:t>Rawls’s initial articulation of the original position criticised on these grounds.</w:t>
      </w:r>
    </w:p>
    <w:p w14:paraId="04C42161" w14:textId="17D5220C" w:rsidR="004414CB" w:rsidRPr="00C971CF" w:rsidRDefault="004414CB" w:rsidP="004414CB">
      <w:pPr>
        <w:pStyle w:val="ListParagraph"/>
        <w:numPr>
          <w:ilvl w:val="2"/>
          <w:numId w:val="1"/>
        </w:numPr>
        <w:rPr>
          <w:rFonts w:ascii="Garamond" w:hAnsi="Garamond"/>
          <w:b/>
          <w:bCs/>
          <w:sz w:val="28"/>
          <w:szCs w:val="28"/>
        </w:rPr>
      </w:pPr>
      <w:r>
        <w:rPr>
          <w:rFonts w:ascii="Garamond" w:hAnsi="Garamond"/>
          <w:sz w:val="28"/>
          <w:szCs w:val="28"/>
        </w:rPr>
        <w:t>Sex/gender not originally included in factors composing the veil of ignorance; parties in original positions originally identified as ‘heads of families’</w:t>
      </w:r>
    </w:p>
    <w:p w14:paraId="34BBA2AC" w14:textId="14622099" w:rsidR="00C971CF" w:rsidRPr="00C971CF" w:rsidRDefault="00C971CF" w:rsidP="004414CB">
      <w:pPr>
        <w:pStyle w:val="ListParagraph"/>
        <w:numPr>
          <w:ilvl w:val="2"/>
          <w:numId w:val="1"/>
        </w:numPr>
        <w:rPr>
          <w:rFonts w:ascii="Garamond" w:hAnsi="Garamond"/>
          <w:b/>
          <w:bCs/>
          <w:sz w:val="28"/>
          <w:szCs w:val="28"/>
        </w:rPr>
      </w:pPr>
      <w:r>
        <w:rPr>
          <w:rFonts w:ascii="Garamond" w:hAnsi="Garamond"/>
          <w:sz w:val="28"/>
          <w:szCs w:val="28"/>
        </w:rPr>
        <w:t>Rawls alters his view in response to critique on this front.</w:t>
      </w:r>
    </w:p>
    <w:p w14:paraId="123E7D62" w14:textId="736A3EF1" w:rsidR="00C971CF" w:rsidRPr="00C971CF" w:rsidRDefault="00C971CF" w:rsidP="00C971CF">
      <w:pPr>
        <w:pStyle w:val="ListParagraph"/>
        <w:numPr>
          <w:ilvl w:val="1"/>
          <w:numId w:val="1"/>
        </w:numPr>
        <w:rPr>
          <w:rFonts w:ascii="Garamond" w:hAnsi="Garamond"/>
          <w:b/>
          <w:bCs/>
          <w:sz w:val="28"/>
          <w:szCs w:val="28"/>
        </w:rPr>
      </w:pPr>
      <w:r>
        <w:rPr>
          <w:rFonts w:ascii="Garamond" w:hAnsi="Garamond"/>
          <w:sz w:val="28"/>
          <w:szCs w:val="28"/>
        </w:rPr>
        <w:t>It is also criticised for being inconsistent on how the principles of justice are to apply to the family</w:t>
      </w:r>
    </w:p>
    <w:p w14:paraId="12022898" w14:textId="680A141A" w:rsidR="00C971CF" w:rsidRPr="00C971CF" w:rsidRDefault="00C971CF" w:rsidP="00C971CF">
      <w:pPr>
        <w:pStyle w:val="ListParagraph"/>
        <w:numPr>
          <w:ilvl w:val="2"/>
          <w:numId w:val="1"/>
        </w:numPr>
        <w:rPr>
          <w:rFonts w:ascii="Garamond" w:hAnsi="Garamond"/>
          <w:b/>
          <w:bCs/>
          <w:sz w:val="28"/>
          <w:szCs w:val="28"/>
        </w:rPr>
      </w:pPr>
      <w:r>
        <w:rPr>
          <w:rFonts w:ascii="Garamond" w:hAnsi="Garamond"/>
          <w:sz w:val="28"/>
          <w:szCs w:val="28"/>
        </w:rPr>
        <w:t>The family is a part of the basic structure, but Rawls also says the principles of justice should apply to it in the same way as to voluntary associations.</w:t>
      </w:r>
    </w:p>
    <w:p w14:paraId="608A3281" w14:textId="4923C20C" w:rsidR="00313CC7" w:rsidRPr="00313CC7" w:rsidRDefault="00C971CF" w:rsidP="00C971CF">
      <w:pPr>
        <w:pStyle w:val="ListParagraph"/>
        <w:numPr>
          <w:ilvl w:val="3"/>
          <w:numId w:val="1"/>
        </w:numPr>
        <w:rPr>
          <w:rFonts w:ascii="Garamond" w:hAnsi="Garamond"/>
          <w:b/>
          <w:bCs/>
          <w:sz w:val="28"/>
          <w:szCs w:val="28"/>
        </w:rPr>
      </w:pPr>
      <w:r>
        <w:rPr>
          <w:rFonts w:ascii="Garamond" w:hAnsi="Garamond"/>
          <w:sz w:val="28"/>
          <w:szCs w:val="28"/>
        </w:rPr>
        <w:t>But the family is evidently not voluntary for all</w:t>
      </w:r>
      <w:r w:rsidR="00313CC7">
        <w:rPr>
          <w:rFonts w:ascii="Garamond" w:hAnsi="Garamond"/>
          <w:sz w:val="28"/>
          <w:szCs w:val="28"/>
        </w:rPr>
        <w:t>.</w:t>
      </w:r>
    </w:p>
    <w:p w14:paraId="7B1D8334" w14:textId="0BC2BEF0" w:rsidR="00C971CF" w:rsidRPr="0073784C" w:rsidRDefault="00313CC7" w:rsidP="00C971CF">
      <w:pPr>
        <w:pStyle w:val="ListParagraph"/>
        <w:numPr>
          <w:ilvl w:val="3"/>
          <w:numId w:val="1"/>
        </w:numPr>
        <w:rPr>
          <w:rFonts w:ascii="Garamond" w:hAnsi="Garamond"/>
          <w:b/>
          <w:bCs/>
          <w:sz w:val="28"/>
          <w:szCs w:val="28"/>
        </w:rPr>
      </w:pPr>
      <w:r>
        <w:rPr>
          <w:rFonts w:ascii="Garamond" w:hAnsi="Garamond"/>
          <w:sz w:val="28"/>
          <w:szCs w:val="28"/>
        </w:rPr>
        <w:t>And</w:t>
      </w:r>
      <w:r w:rsidR="00C971CF">
        <w:rPr>
          <w:rFonts w:ascii="Garamond" w:hAnsi="Garamond"/>
          <w:sz w:val="28"/>
          <w:szCs w:val="28"/>
        </w:rPr>
        <w:t xml:space="preserve"> there is no reason to assume the Western nuclear family is the form parties will choose in the original position.</w:t>
      </w:r>
    </w:p>
    <w:p w14:paraId="76C05D11" w14:textId="19E2C607" w:rsidR="0073784C" w:rsidRPr="009E797D" w:rsidRDefault="0073784C" w:rsidP="00C971CF">
      <w:pPr>
        <w:pStyle w:val="ListParagraph"/>
        <w:numPr>
          <w:ilvl w:val="3"/>
          <w:numId w:val="1"/>
        </w:numPr>
        <w:rPr>
          <w:rFonts w:ascii="Garamond" w:hAnsi="Garamond"/>
          <w:b/>
          <w:bCs/>
          <w:sz w:val="28"/>
          <w:szCs w:val="28"/>
        </w:rPr>
      </w:pPr>
      <w:r>
        <w:rPr>
          <w:rFonts w:ascii="Garamond" w:hAnsi="Garamond"/>
          <w:sz w:val="28"/>
          <w:szCs w:val="28"/>
        </w:rPr>
        <w:t>The family unit is itself constituted by the state: ‘the state is in the family from the very start’ (Nussbaum).</w:t>
      </w:r>
    </w:p>
    <w:p w14:paraId="7C2834AC" w14:textId="77777777" w:rsidR="009E797D" w:rsidRDefault="009E797D" w:rsidP="009E797D">
      <w:pPr>
        <w:rPr>
          <w:rFonts w:ascii="Garamond" w:hAnsi="Garamond"/>
          <w:b/>
          <w:bCs/>
          <w:sz w:val="28"/>
          <w:szCs w:val="28"/>
        </w:rPr>
      </w:pPr>
    </w:p>
    <w:p w14:paraId="20F2C757" w14:textId="0EA752DF" w:rsidR="009160C5" w:rsidRDefault="009E797D" w:rsidP="009160C5">
      <w:pPr>
        <w:pStyle w:val="ListParagraph"/>
        <w:numPr>
          <w:ilvl w:val="0"/>
          <w:numId w:val="1"/>
        </w:numPr>
        <w:rPr>
          <w:rFonts w:ascii="Garamond" w:hAnsi="Garamond"/>
          <w:b/>
          <w:bCs/>
          <w:sz w:val="28"/>
          <w:szCs w:val="28"/>
        </w:rPr>
      </w:pPr>
      <w:r>
        <w:rPr>
          <w:rFonts w:ascii="Garamond" w:hAnsi="Garamond"/>
          <w:b/>
          <w:bCs/>
          <w:sz w:val="28"/>
          <w:szCs w:val="28"/>
        </w:rPr>
        <w:t>Feminist Critiques of Liberalism 2: Pluralism</w:t>
      </w:r>
    </w:p>
    <w:p w14:paraId="0C713BBD" w14:textId="3655EE31" w:rsidR="009160C5" w:rsidRDefault="009160C5" w:rsidP="009160C5">
      <w:pPr>
        <w:pStyle w:val="ListParagraph"/>
        <w:numPr>
          <w:ilvl w:val="1"/>
          <w:numId w:val="1"/>
        </w:numPr>
        <w:rPr>
          <w:rFonts w:ascii="Garamond" w:hAnsi="Garamond"/>
          <w:sz w:val="28"/>
          <w:szCs w:val="28"/>
        </w:rPr>
      </w:pPr>
      <w:r>
        <w:rPr>
          <w:rFonts w:ascii="Garamond" w:hAnsi="Garamond"/>
          <w:sz w:val="28"/>
          <w:szCs w:val="28"/>
        </w:rPr>
        <w:t>Concerns the commitment of political liberalism to pluralism, rooted in the need for a stable overlapping consensus.</w:t>
      </w:r>
    </w:p>
    <w:p w14:paraId="0F160535" w14:textId="0A8AB043" w:rsidR="003D5A01" w:rsidRDefault="003D5A01" w:rsidP="009160C5">
      <w:pPr>
        <w:pStyle w:val="ListParagraph"/>
        <w:numPr>
          <w:ilvl w:val="1"/>
          <w:numId w:val="1"/>
        </w:numPr>
        <w:rPr>
          <w:rFonts w:ascii="Garamond" w:hAnsi="Garamond"/>
          <w:sz w:val="28"/>
          <w:szCs w:val="28"/>
        </w:rPr>
      </w:pPr>
      <w:r>
        <w:rPr>
          <w:rFonts w:ascii="Garamond" w:hAnsi="Garamond"/>
          <w:sz w:val="28"/>
          <w:szCs w:val="28"/>
        </w:rPr>
        <w:t>Rawls does not rule out conceptions of the good which involve gender-based hierarchy as unreasonable</w:t>
      </w:r>
      <w:r w:rsidR="00A57366">
        <w:rPr>
          <w:rFonts w:ascii="Garamond" w:hAnsi="Garamond"/>
          <w:sz w:val="28"/>
          <w:szCs w:val="28"/>
        </w:rPr>
        <w:t>, on the basis that these commitments need not infringe on the public commitments of those holding them.</w:t>
      </w:r>
    </w:p>
    <w:p w14:paraId="4F7EA382" w14:textId="5A7957C6" w:rsidR="00A57366" w:rsidRDefault="00A57366" w:rsidP="009160C5">
      <w:pPr>
        <w:pStyle w:val="ListParagraph"/>
        <w:numPr>
          <w:ilvl w:val="1"/>
          <w:numId w:val="1"/>
        </w:numPr>
        <w:rPr>
          <w:rFonts w:ascii="Garamond" w:hAnsi="Garamond"/>
          <w:sz w:val="28"/>
          <w:szCs w:val="28"/>
        </w:rPr>
      </w:pPr>
      <w:r>
        <w:rPr>
          <w:rFonts w:ascii="Garamond" w:hAnsi="Garamond"/>
          <w:sz w:val="28"/>
          <w:szCs w:val="28"/>
        </w:rPr>
        <w:t>Okin challenges this: such non-public commitments have political implications, especially in the socialization of children.</w:t>
      </w:r>
    </w:p>
    <w:p w14:paraId="03194E81" w14:textId="6B04D898" w:rsidR="00584389" w:rsidRDefault="00584389" w:rsidP="00584389">
      <w:pPr>
        <w:pStyle w:val="ListParagraph"/>
        <w:numPr>
          <w:ilvl w:val="2"/>
          <w:numId w:val="1"/>
        </w:numPr>
        <w:rPr>
          <w:rFonts w:ascii="Garamond" w:hAnsi="Garamond"/>
          <w:sz w:val="28"/>
          <w:szCs w:val="28"/>
        </w:rPr>
      </w:pPr>
      <w:r w:rsidRPr="00584389">
        <w:rPr>
          <w:rFonts w:ascii="Garamond" w:hAnsi="Garamond"/>
          <w:sz w:val="28"/>
          <w:szCs w:val="28"/>
        </w:rPr>
        <w:lastRenderedPageBreak/>
        <w:t>‘Take as an example a girl and a boy raised in a traditionalist (fundamentalist or orthodox) religious household and educated entirely at religious schools and within the church, temple, or mosque. Suppose that all of these "nonpolitical" settings inculcate and reinforce in them the belief that there is a natural, God-given hierarchy of the sexes, each with its own proper sphere-the female's being narrow, circumscribed, and without authority, and the male's the opposite. How is such a socialization consistent with both children's becoming, in any sense, "free and equal citizens"-who, as Rawls says, must "regard themselves as self-authenticating sources of valid claims" (p. 32)?’.</w:t>
      </w:r>
    </w:p>
    <w:p w14:paraId="13DC42BC" w14:textId="04559820" w:rsidR="00996394" w:rsidRDefault="00996394" w:rsidP="009160C5">
      <w:pPr>
        <w:pStyle w:val="ListParagraph"/>
        <w:numPr>
          <w:ilvl w:val="1"/>
          <w:numId w:val="1"/>
        </w:numPr>
        <w:rPr>
          <w:rFonts w:ascii="Garamond" w:hAnsi="Garamond"/>
          <w:sz w:val="28"/>
          <w:szCs w:val="28"/>
        </w:rPr>
      </w:pPr>
      <w:r>
        <w:rPr>
          <w:rFonts w:ascii="Garamond" w:hAnsi="Garamond"/>
          <w:sz w:val="28"/>
          <w:szCs w:val="28"/>
        </w:rPr>
        <w:t>Rawls ‘</w:t>
      </w:r>
      <w:r w:rsidRPr="00996394">
        <w:rPr>
          <w:rFonts w:ascii="Garamond" w:hAnsi="Garamond"/>
          <w:sz w:val="28"/>
          <w:szCs w:val="28"/>
        </w:rPr>
        <w:t>does not apply the same strict criteria of reasonableness to comprehensive doctrines that involve considerable gender inequality that he does to those that treat people differently on racial or ethnic grounds’ (Okin, 1994, 31</w:t>
      </w:r>
      <w:r>
        <w:rPr>
          <w:rFonts w:ascii="Garamond" w:hAnsi="Garamond"/>
          <w:sz w:val="28"/>
          <w:szCs w:val="28"/>
        </w:rPr>
        <w:t>)</w:t>
      </w:r>
    </w:p>
    <w:p w14:paraId="22F64231" w14:textId="1F06C0F0" w:rsidR="00122F7A" w:rsidRDefault="00122F7A" w:rsidP="009160C5">
      <w:pPr>
        <w:pStyle w:val="ListParagraph"/>
        <w:numPr>
          <w:ilvl w:val="1"/>
          <w:numId w:val="1"/>
        </w:numPr>
        <w:rPr>
          <w:rFonts w:ascii="Garamond" w:hAnsi="Garamond"/>
          <w:sz w:val="28"/>
          <w:szCs w:val="28"/>
        </w:rPr>
      </w:pPr>
      <w:r>
        <w:rPr>
          <w:rFonts w:ascii="Garamond" w:hAnsi="Garamond"/>
          <w:sz w:val="28"/>
          <w:szCs w:val="28"/>
        </w:rPr>
        <w:t>Thus, either political liberalism fails to afford sufficient respect and equal terms of cooperation for women, or it risks becoming unstable.</w:t>
      </w:r>
    </w:p>
    <w:p w14:paraId="0D642157" w14:textId="77777777" w:rsidR="00177CFC" w:rsidRDefault="00177CFC" w:rsidP="00177CFC">
      <w:pPr>
        <w:rPr>
          <w:rFonts w:ascii="Garamond" w:hAnsi="Garamond"/>
          <w:sz w:val="28"/>
          <w:szCs w:val="28"/>
        </w:rPr>
      </w:pPr>
    </w:p>
    <w:p w14:paraId="03346CC0" w14:textId="61541C43" w:rsidR="00177CFC" w:rsidRPr="00177CFC" w:rsidRDefault="00177CFC" w:rsidP="00177CFC">
      <w:pPr>
        <w:pStyle w:val="ListParagraph"/>
        <w:numPr>
          <w:ilvl w:val="0"/>
          <w:numId w:val="1"/>
        </w:numPr>
        <w:rPr>
          <w:rFonts w:ascii="Garamond" w:hAnsi="Garamond"/>
          <w:b/>
          <w:bCs/>
          <w:sz w:val="28"/>
          <w:szCs w:val="28"/>
        </w:rPr>
      </w:pPr>
      <w:r>
        <w:rPr>
          <w:rFonts w:ascii="Garamond" w:hAnsi="Garamond"/>
          <w:b/>
          <w:bCs/>
          <w:sz w:val="28"/>
          <w:szCs w:val="28"/>
        </w:rPr>
        <w:t>Feminist Critiques of Liberalism 3: Liberal Individualism</w:t>
      </w:r>
    </w:p>
    <w:p w14:paraId="4C54B145" w14:textId="1E266629" w:rsidR="00177CFC" w:rsidRDefault="00177CFC" w:rsidP="00177CFC">
      <w:pPr>
        <w:pStyle w:val="ListParagraph"/>
        <w:numPr>
          <w:ilvl w:val="1"/>
          <w:numId w:val="1"/>
        </w:numPr>
        <w:rPr>
          <w:rFonts w:ascii="Garamond" w:hAnsi="Garamond"/>
          <w:sz w:val="28"/>
          <w:szCs w:val="28"/>
        </w:rPr>
      </w:pPr>
      <w:r>
        <w:rPr>
          <w:rFonts w:ascii="Garamond" w:hAnsi="Garamond"/>
          <w:sz w:val="28"/>
          <w:szCs w:val="28"/>
        </w:rPr>
        <w:t>Critique about the conception of the person in liberalism: posited as an isolated, independent rational agent.</w:t>
      </w:r>
    </w:p>
    <w:p w14:paraId="60B8280C" w14:textId="77777777" w:rsidR="00DE5B08" w:rsidRPr="00584389" w:rsidRDefault="00177CFC" w:rsidP="00177CFC">
      <w:pPr>
        <w:pStyle w:val="ListParagraph"/>
        <w:numPr>
          <w:ilvl w:val="1"/>
          <w:numId w:val="1"/>
        </w:numPr>
        <w:rPr>
          <w:rFonts w:ascii="Garamond" w:hAnsi="Garamond"/>
          <w:sz w:val="28"/>
          <w:szCs w:val="28"/>
        </w:rPr>
      </w:pPr>
      <w:r>
        <w:rPr>
          <w:rFonts w:ascii="Garamond" w:hAnsi="Garamond"/>
          <w:sz w:val="28"/>
          <w:szCs w:val="28"/>
        </w:rPr>
        <w:t xml:space="preserve">But we are all </w:t>
      </w:r>
      <w:proofErr w:type="gramStart"/>
      <w:r>
        <w:rPr>
          <w:rFonts w:ascii="Garamond" w:hAnsi="Garamond"/>
          <w:sz w:val="28"/>
          <w:szCs w:val="28"/>
        </w:rPr>
        <w:t>dependent, and</w:t>
      </w:r>
      <w:proofErr w:type="gramEnd"/>
      <w:r>
        <w:rPr>
          <w:rFonts w:ascii="Garamond" w:hAnsi="Garamond"/>
          <w:sz w:val="28"/>
          <w:szCs w:val="28"/>
        </w:rPr>
        <w:t xml:space="preserve"> need care.</w:t>
      </w:r>
      <w:r w:rsidR="00853887">
        <w:rPr>
          <w:rFonts w:ascii="Garamond" w:hAnsi="Garamond"/>
          <w:sz w:val="28"/>
          <w:szCs w:val="28"/>
        </w:rPr>
        <w:t xml:space="preserve"> We might also think that the ‘self’ is </w:t>
      </w:r>
      <w:r w:rsidR="00302F61">
        <w:rPr>
          <w:rFonts w:ascii="Garamond" w:hAnsi="Garamond"/>
          <w:sz w:val="28"/>
          <w:szCs w:val="28"/>
        </w:rPr>
        <w:t xml:space="preserve">always embedded in some social </w:t>
      </w:r>
      <w:proofErr w:type="gramStart"/>
      <w:r w:rsidR="00302F61">
        <w:rPr>
          <w:rFonts w:ascii="Garamond" w:hAnsi="Garamond"/>
          <w:sz w:val="28"/>
          <w:szCs w:val="28"/>
        </w:rPr>
        <w:t>reality, and</w:t>
      </w:r>
      <w:proofErr w:type="gramEnd"/>
      <w:r w:rsidR="00302F61">
        <w:rPr>
          <w:rFonts w:ascii="Garamond" w:hAnsi="Garamond"/>
          <w:sz w:val="28"/>
          <w:szCs w:val="28"/>
        </w:rPr>
        <w:t xml:space="preserve"> cannot meaningfully be </w:t>
      </w:r>
      <w:r w:rsidR="00302F61" w:rsidRPr="00584389">
        <w:rPr>
          <w:rFonts w:ascii="Garamond" w:hAnsi="Garamond"/>
          <w:sz w:val="28"/>
          <w:szCs w:val="28"/>
        </w:rPr>
        <w:t>uprooted from that reality.</w:t>
      </w:r>
    </w:p>
    <w:p w14:paraId="2061B66C" w14:textId="77777777" w:rsidR="00584389" w:rsidRPr="00584389" w:rsidRDefault="00DE5B08" w:rsidP="00584389">
      <w:pPr>
        <w:pStyle w:val="ListParagraph"/>
        <w:numPr>
          <w:ilvl w:val="1"/>
          <w:numId w:val="1"/>
        </w:numPr>
        <w:rPr>
          <w:rFonts w:ascii="Garamond" w:hAnsi="Garamond"/>
          <w:sz w:val="28"/>
          <w:szCs w:val="28"/>
        </w:rPr>
      </w:pPr>
      <w:r w:rsidRPr="00584389">
        <w:rPr>
          <w:rFonts w:ascii="Garamond" w:hAnsi="Garamond"/>
          <w:sz w:val="28"/>
          <w:szCs w:val="28"/>
        </w:rPr>
        <w:t>Okin defends Rawls: reasoners in the original position</w:t>
      </w:r>
      <w:r w:rsidR="00177CFC" w:rsidRPr="00584389">
        <w:rPr>
          <w:rFonts w:ascii="Garamond" w:hAnsi="Garamond"/>
          <w:sz w:val="28"/>
          <w:szCs w:val="28"/>
        </w:rPr>
        <w:t xml:space="preserve"> </w:t>
      </w:r>
      <w:r w:rsidRPr="00584389">
        <w:rPr>
          <w:rFonts w:ascii="Garamond" w:hAnsi="Garamond"/>
          <w:sz w:val="28"/>
          <w:szCs w:val="28"/>
        </w:rPr>
        <w:t>are not meant to accurately reflect actual persons.</w:t>
      </w:r>
      <w:r w:rsidR="00145F80" w:rsidRPr="00584389">
        <w:rPr>
          <w:rFonts w:ascii="Garamond" w:hAnsi="Garamond"/>
          <w:sz w:val="28"/>
          <w:szCs w:val="28"/>
        </w:rPr>
        <w:t xml:space="preserve"> </w:t>
      </w:r>
    </w:p>
    <w:p w14:paraId="79FC9FC1" w14:textId="1D3D06A0" w:rsidR="00584389" w:rsidRPr="00584389" w:rsidRDefault="00584389" w:rsidP="00584389">
      <w:pPr>
        <w:pStyle w:val="ListParagraph"/>
        <w:numPr>
          <w:ilvl w:val="2"/>
          <w:numId w:val="1"/>
        </w:numPr>
        <w:rPr>
          <w:rFonts w:ascii="Garamond" w:hAnsi="Garamond"/>
          <w:sz w:val="28"/>
          <w:szCs w:val="28"/>
        </w:rPr>
      </w:pPr>
      <w:r w:rsidRPr="00584389">
        <w:rPr>
          <w:rFonts w:ascii="Garamond" w:hAnsi="Garamond"/>
        </w:rPr>
        <w:t>‘</w:t>
      </w:r>
      <w:r w:rsidRPr="00584389">
        <w:rPr>
          <w:rFonts w:ascii="Garamond" w:hAnsi="Garamond"/>
        </w:rPr>
        <w:t>Rawls's liberal theory of justice is built to a large extent on an ethic of care; it is at least as concerned with certain important emotions as with rationality, and with human differences as with similarities.’ (Okin, 2004, 1545)</w:t>
      </w:r>
    </w:p>
    <w:p w14:paraId="3B8F6709" w14:textId="3E420C9E" w:rsidR="00145F80" w:rsidRDefault="00145F80" w:rsidP="00177CFC">
      <w:pPr>
        <w:pStyle w:val="ListParagraph"/>
        <w:numPr>
          <w:ilvl w:val="1"/>
          <w:numId w:val="1"/>
        </w:numPr>
        <w:rPr>
          <w:rFonts w:ascii="Garamond" w:hAnsi="Garamond"/>
          <w:sz w:val="28"/>
          <w:szCs w:val="28"/>
        </w:rPr>
      </w:pPr>
      <w:r w:rsidRPr="00584389">
        <w:rPr>
          <w:rFonts w:ascii="Garamond" w:hAnsi="Garamond"/>
          <w:sz w:val="28"/>
          <w:szCs w:val="28"/>
        </w:rPr>
        <w:t>Nussbaum provides a broader defence of liberal individualism, rooted in the separateness of persons and the constraints it places on the demands of the collective</w:t>
      </w:r>
    </w:p>
    <w:p w14:paraId="0CF3A223" w14:textId="69227633" w:rsidR="0045473D" w:rsidRPr="00584389" w:rsidRDefault="0045473D" w:rsidP="0045473D">
      <w:pPr>
        <w:pStyle w:val="ListParagraph"/>
        <w:numPr>
          <w:ilvl w:val="2"/>
          <w:numId w:val="1"/>
        </w:numPr>
        <w:rPr>
          <w:rFonts w:ascii="Garamond" w:hAnsi="Garamond"/>
          <w:sz w:val="28"/>
          <w:szCs w:val="28"/>
        </w:rPr>
      </w:pPr>
      <w:r>
        <w:rPr>
          <w:rFonts w:ascii="Garamond" w:hAnsi="Garamond"/>
          <w:sz w:val="28"/>
          <w:szCs w:val="28"/>
        </w:rPr>
        <w:t>‘</w:t>
      </w:r>
      <w:r w:rsidRPr="0045473D">
        <w:rPr>
          <w:rFonts w:ascii="Garamond" w:hAnsi="Garamond"/>
          <w:sz w:val="28"/>
          <w:szCs w:val="28"/>
        </w:rPr>
        <w:t>Liberalism holds that the flourishing of human beings taken one by one is both analytically and normatively prior to the flourishing of the state or the nation or the religious group: analytically, because such unities do not really efface the separate reality of individual lives; normatively because the recognition of that separateness is held to be a fundamental fact for ethics, which should recognize each separate entity as an end not as a means to the ends of others.’</w:t>
      </w:r>
      <w:r>
        <w:rPr>
          <w:rFonts w:ascii="Garamond" w:hAnsi="Garamond"/>
          <w:sz w:val="28"/>
          <w:szCs w:val="28"/>
        </w:rPr>
        <w:t xml:space="preserve"> (63)</w:t>
      </w:r>
    </w:p>
    <w:p w14:paraId="7497664A" w14:textId="77777777" w:rsidR="00B32AC8" w:rsidRPr="00584389" w:rsidRDefault="00B32AC8" w:rsidP="00B32AC8">
      <w:pPr>
        <w:rPr>
          <w:rFonts w:ascii="Garamond" w:hAnsi="Garamond"/>
          <w:sz w:val="28"/>
          <w:szCs w:val="28"/>
        </w:rPr>
      </w:pPr>
    </w:p>
    <w:p w14:paraId="04074C84" w14:textId="7DED3D97" w:rsidR="00B32AC8" w:rsidRPr="00B32AC8" w:rsidRDefault="00B32AC8" w:rsidP="00B32AC8">
      <w:pPr>
        <w:pStyle w:val="ListParagraph"/>
        <w:numPr>
          <w:ilvl w:val="0"/>
          <w:numId w:val="1"/>
        </w:numPr>
        <w:rPr>
          <w:rFonts w:ascii="Garamond" w:hAnsi="Garamond"/>
          <w:b/>
          <w:bCs/>
          <w:sz w:val="28"/>
          <w:szCs w:val="28"/>
        </w:rPr>
      </w:pPr>
      <w:r>
        <w:rPr>
          <w:rFonts w:ascii="Garamond" w:hAnsi="Garamond"/>
          <w:b/>
          <w:bCs/>
          <w:sz w:val="28"/>
          <w:szCs w:val="28"/>
        </w:rPr>
        <w:t>Hartley and Watsons’s Feminist Political Liberalism</w:t>
      </w:r>
    </w:p>
    <w:p w14:paraId="6D24C0D8" w14:textId="724E6D1C" w:rsidR="00B32AC8" w:rsidRDefault="00B32AC8" w:rsidP="00B32AC8">
      <w:pPr>
        <w:pStyle w:val="ListParagraph"/>
        <w:numPr>
          <w:ilvl w:val="1"/>
          <w:numId w:val="1"/>
        </w:numPr>
        <w:rPr>
          <w:rFonts w:ascii="Garamond" w:hAnsi="Garamond"/>
          <w:sz w:val="28"/>
          <w:szCs w:val="28"/>
        </w:rPr>
      </w:pPr>
      <w:r>
        <w:rPr>
          <w:rFonts w:ascii="Garamond" w:hAnsi="Garamond"/>
          <w:sz w:val="28"/>
          <w:szCs w:val="28"/>
        </w:rPr>
        <w:lastRenderedPageBreak/>
        <w:t>Argues that we can derive a more thoroughly feminist form of political liberalism from the notion of reciprocity</w:t>
      </w:r>
    </w:p>
    <w:p w14:paraId="73F5F486" w14:textId="22EBFE05" w:rsidR="00B32AC8" w:rsidRDefault="00B32AC8" w:rsidP="00B32AC8">
      <w:pPr>
        <w:pStyle w:val="ListParagraph"/>
        <w:numPr>
          <w:ilvl w:val="1"/>
          <w:numId w:val="1"/>
        </w:numPr>
        <w:rPr>
          <w:rFonts w:ascii="Garamond" w:hAnsi="Garamond"/>
          <w:sz w:val="28"/>
          <w:szCs w:val="28"/>
        </w:rPr>
      </w:pPr>
      <w:r>
        <w:rPr>
          <w:rFonts w:ascii="Garamond" w:hAnsi="Garamond"/>
          <w:sz w:val="28"/>
          <w:szCs w:val="28"/>
        </w:rPr>
        <w:t>Principle of reciprocity: when agents advance claims in public, they must think that others can reasonably accept them on equal terms, and as free and equal citizens.</w:t>
      </w:r>
    </w:p>
    <w:p w14:paraId="5291EFE4" w14:textId="3FAC543D" w:rsidR="005F0940" w:rsidRDefault="005F0940" w:rsidP="005F0940">
      <w:pPr>
        <w:pStyle w:val="ListParagraph"/>
        <w:numPr>
          <w:ilvl w:val="2"/>
          <w:numId w:val="1"/>
        </w:numPr>
        <w:rPr>
          <w:rFonts w:ascii="Garamond" w:hAnsi="Garamond"/>
          <w:sz w:val="28"/>
          <w:szCs w:val="28"/>
        </w:rPr>
      </w:pPr>
      <w:r>
        <w:rPr>
          <w:rFonts w:ascii="Garamond" w:hAnsi="Garamond"/>
          <w:sz w:val="28"/>
          <w:szCs w:val="28"/>
        </w:rPr>
        <w:t>Substantive implications – rules out conceptions of justice which fail to recognise basic rights for all and priority for those rights, or which fail to grant all citizens the means to make use of those freedoms.</w:t>
      </w:r>
    </w:p>
    <w:p w14:paraId="187D9DC8" w14:textId="0A78BFE0" w:rsidR="005F0940" w:rsidRDefault="005F0940" w:rsidP="005F0940">
      <w:pPr>
        <w:pStyle w:val="ListParagraph"/>
        <w:numPr>
          <w:ilvl w:val="1"/>
          <w:numId w:val="1"/>
        </w:numPr>
        <w:rPr>
          <w:rFonts w:ascii="Garamond" w:hAnsi="Garamond"/>
          <w:sz w:val="28"/>
          <w:szCs w:val="28"/>
        </w:rPr>
      </w:pPr>
      <w:r>
        <w:rPr>
          <w:rFonts w:ascii="Garamond" w:hAnsi="Garamond"/>
          <w:sz w:val="28"/>
          <w:szCs w:val="28"/>
        </w:rPr>
        <w:t>Two implications of principle of reciprocity</w:t>
      </w:r>
    </w:p>
    <w:p w14:paraId="3AD3661D" w14:textId="39E831EC" w:rsidR="005F0940" w:rsidRDefault="005F0940" w:rsidP="005F0940">
      <w:pPr>
        <w:pStyle w:val="ListParagraph"/>
        <w:numPr>
          <w:ilvl w:val="2"/>
          <w:numId w:val="1"/>
        </w:numPr>
        <w:rPr>
          <w:rFonts w:ascii="Garamond" w:hAnsi="Garamond"/>
          <w:sz w:val="28"/>
          <w:szCs w:val="28"/>
        </w:rPr>
      </w:pPr>
      <w:r>
        <w:rPr>
          <w:rFonts w:ascii="Garamond" w:hAnsi="Garamond"/>
          <w:sz w:val="28"/>
          <w:szCs w:val="28"/>
        </w:rPr>
        <w:t>It can be applied to other social goods</w:t>
      </w:r>
    </w:p>
    <w:p w14:paraId="167A4B02" w14:textId="5BB0971C" w:rsidR="005F0940" w:rsidRDefault="005F0940" w:rsidP="005F0940">
      <w:pPr>
        <w:pStyle w:val="ListParagraph"/>
        <w:numPr>
          <w:ilvl w:val="2"/>
          <w:numId w:val="1"/>
        </w:numPr>
        <w:rPr>
          <w:rFonts w:ascii="Garamond" w:hAnsi="Garamond"/>
          <w:sz w:val="28"/>
          <w:szCs w:val="28"/>
        </w:rPr>
      </w:pPr>
      <w:r>
        <w:rPr>
          <w:rFonts w:ascii="Garamond" w:hAnsi="Garamond"/>
          <w:sz w:val="28"/>
          <w:szCs w:val="28"/>
        </w:rPr>
        <w:t>It has distinctive aims with regards to the conditions of democratic deliberation among equals</w:t>
      </w:r>
    </w:p>
    <w:p w14:paraId="009513D5" w14:textId="0AA9E7E6" w:rsidR="005F0940" w:rsidRDefault="005F0940" w:rsidP="005F0940">
      <w:pPr>
        <w:pStyle w:val="ListParagraph"/>
        <w:numPr>
          <w:ilvl w:val="2"/>
          <w:numId w:val="1"/>
        </w:numPr>
        <w:rPr>
          <w:rFonts w:ascii="Garamond" w:hAnsi="Garamond"/>
          <w:sz w:val="28"/>
          <w:szCs w:val="28"/>
        </w:rPr>
      </w:pPr>
      <w:r>
        <w:rPr>
          <w:rFonts w:ascii="Garamond" w:hAnsi="Garamond"/>
          <w:sz w:val="28"/>
          <w:szCs w:val="28"/>
        </w:rPr>
        <w:t>Negative aim: a demand for the ‘</w:t>
      </w:r>
      <w:r w:rsidRPr="005F0940">
        <w:rPr>
          <w:rFonts w:ascii="Garamond" w:hAnsi="Garamond"/>
          <w:sz w:val="28"/>
          <w:szCs w:val="28"/>
        </w:rPr>
        <w:t>elimination of pervasive social hierarchies that thwart the give and take of public reasons among free and equal citizens’</w:t>
      </w:r>
      <w:r>
        <w:rPr>
          <w:rFonts w:ascii="Garamond" w:hAnsi="Garamond"/>
          <w:sz w:val="28"/>
          <w:szCs w:val="28"/>
        </w:rPr>
        <w:t xml:space="preserve"> (p.8)</w:t>
      </w:r>
      <w:r w:rsidR="005B4043">
        <w:rPr>
          <w:rFonts w:ascii="Garamond" w:hAnsi="Garamond"/>
          <w:sz w:val="28"/>
          <w:szCs w:val="28"/>
        </w:rPr>
        <w:t>. Any reasonable conception of justice will incorporate such a requirement of non-domination</w:t>
      </w:r>
      <w:r w:rsidR="0098310D">
        <w:rPr>
          <w:rFonts w:ascii="Garamond" w:hAnsi="Garamond"/>
          <w:sz w:val="28"/>
          <w:szCs w:val="28"/>
        </w:rPr>
        <w:t xml:space="preserve"> (or ‘</w:t>
      </w:r>
      <w:r w:rsidR="0098310D" w:rsidRPr="0098310D">
        <w:rPr>
          <w:rFonts w:ascii="Garamond" w:hAnsi="Garamond"/>
          <w:sz w:val="28"/>
          <w:szCs w:val="28"/>
        </w:rPr>
        <w:t>freedom from social positions that compromise persons' ability to be viewed by others as free and equal citizens and that interfere with their standing as free and equal citizens</w:t>
      </w:r>
      <w:r w:rsidR="0098310D">
        <w:rPr>
          <w:rFonts w:ascii="Garamond" w:hAnsi="Garamond"/>
          <w:sz w:val="28"/>
          <w:szCs w:val="28"/>
        </w:rPr>
        <w:t>’).</w:t>
      </w:r>
    </w:p>
    <w:p w14:paraId="5FC9F6D3" w14:textId="4D628863" w:rsidR="00BD4A31" w:rsidRDefault="005B4043" w:rsidP="00BD4A31">
      <w:pPr>
        <w:pStyle w:val="ListParagraph"/>
        <w:numPr>
          <w:ilvl w:val="2"/>
          <w:numId w:val="1"/>
        </w:numPr>
        <w:rPr>
          <w:rFonts w:ascii="Garamond" w:hAnsi="Garamond"/>
          <w:sz w:val="28"/>
          <w:szCs w:val="28"/>
        </w:rPr>
      </w:pPr>
      <w:r>
        <w:rPr>
          <w:rFonts w:ascii="Garamond" w:hAnsi="Garamond"/>
          <w:sz w:val="28"/>
          <w:szCs w:val="28"/>
        </w:rPr>
        <w:t>Positive aim: a demand for the realisation of social conditions necessary for recognition respect among equal citizens.</w:t>
      </w:r>
      <w:r w:rsidR="001B1B2F">
        <w:rPr>
          <w:rFonts w:ascii="Garamond" w:hAnsi="Garamond"/>
          <w:sz w:val="28"/>
          <w:szCs w:val="28"/>
        </w:rPr>
        <w:t xml:space="preserve"> This involves recognition of the standing of others. Such a recognition should be the reason why agents only introduce proposals that others might reasonably accept.</w:t>
      </w:r>
    </w:p>
    <w:p w14:paraId="09FBBFDF" w14:textId="77299C8C" w:rsidR="00BD4A31" w:rsidRPr="00BD4A31" w:rsidRDefault="00BD4A31" w:rsidP="00BD4A31">
      <w:pPr>
        <w:pStyle w:val="ListParagraph"/>
        <w:numPr>
          <w:ilvl w:val="1"/>
          <w:numId w:val="1"/>
        </w:numPr>
        <w:rPr>
          <w:rFonts w:ascii="Garamond" w:hAnsi="Garamond"/>
          <w:sz w:val="28"/>
          <w:szCs w:val="28"/>
        </w:rPr>
      </w:pPr>
      <w:r>
        <w:rPr>
          <w:rFonts w:ascii="Garamond" w:hAnsi="Garamond"/>
          <w:sz w:val="28"/>
          <w:szCs w:val="28"/>
        </w:rPr>
        <w:t>Outcome: political liberalism has the capacity to ensure substantive equality of women without having to rule a wider range of conceptions of justice</w:t>
      </w:r>
      <w:r w:rsidR="00CE3C38">
        <w:rPr>
          <w:rFonts w:ascii="Garamond" w:hAnsi="Garamond"/>
          <w:sz w:val="28"/>
          <w:szCs w:val="28"/>
        </w:rPr>
        <w:t xml:space="preserve"> or conceptions of the good</w:t>
      </w:r>
      <w:r>
        <w:rPr>
          <w:rFonts w:ascii="Garamond" w:hAnsi="Garamond"/>
          <w:sz w:val="28"/>
          <w:szCs w:val="28"/>
        </w:rPr>
        <w:t xml:space="preserve"> unreasonable</w:t>
      </w:r>
      <w:r w:rsidR="002E0D13">
        <w:rPr>
          <w:rFonts w:ascii="Garamond" w:hAnsi="Garamond"/>
          <w:sz w:val="28"/>
          <w:szCs w:val="28"/>
        </w:rPr>
        <w:t>.</w:t>
      </w:r>
    </w:p>
    <w:p w14:paraId="5DE0FC1D" w14:textId="77777777" w:rsidR="00973370" w:rsidRDefault="00973370" w:rsidP="00973370">
      <w:pPr>
        <w:rPr>
          <w:rFonts w:ascii="Garamond" w:hAnsi="Garamond"/>
          <w:b/>
          <w:bCs/>
          <w:sz w:val="28"/>
          <w:szCs w:val="28"/>
        </w:rPr>
      </w:pPr>
    </w:p>
    <w:p w14:paraId="58F874C0" w14:textId="77777777" w:rsidR="00F91ECE" w:rsidRPr="00F91ECE" w:rsidRDefault="00F91ECE" w:rsidP="00F91ECE">
      <w:pPr>
        <w:rPr>
          <w:rFonts w:ascii="Garamond" w:hAnsi="Garamond"/>
          <w:sz w:val="28"/>
          <w:szCs w:val="28"/>
        </w:rPr>
      </w:pPr>
    </w:p>
    <w:p w14:paraId="1DFD4435" w14:textId="4432DD5C" w:rsidR="00AD3C55" w:rsidRPr="00A94868" w:rsidRDefault="00AD3C55" w:rsidP="00AD3C55">
      <w:pPr>
        <w:rPr>
          <w:rFonts w:ascii="Garamond" w:hAnsi="Garamond"/>
          <w:b/>
          <w:bCs/>
          <w:sz w:val="28"/>
          <w:szCs w:val="28"/>
        </w:rPr>
      </w:pPr>
      <w:r w:rsidRPr="00A94868">
        <w:rPr>
          <w:rFonts w:ascii="Garamond" w:hAnsi="Garamond"/>
          <w:b/>
          <w:bCs/>
          <w:sz w:val="28"/>
          <w:szCs w:val="28"/>
        </w:rPr>
        <w:t>References</w:t>
      </w:r>
    </w:p>
    <w:p w14:paraId="1C2E4CE2" w14:textId="77777777" w:rsidR="00807847" w:rsidRDefault="00807847" w:rsidP="00AD3C55">
      <w:pPr>
        <w:rPr>
          <w:rFonts w:ascii="Garamond" w:hAnsi="Garamond"/>
          <w:b/>
          <w:bCs/>
          <w:sz w:val="28"/>
          <w:szCs w:val="28"/>
        </w:rPr>
      </w:pPr>
    </w:p>
    <w:p w14:paraId="27B69BAF" w14:textId="77777777" w:rsidR="00737106" w:rsidRDefault="00737106" w:rsidP="00AD3C55">
      <w:pPr>
        <w:rPr>
          <w:rFonts w:ascii="Garamond" w:hAnsi="Garamond"/>
          <w:sz w:val="28"/>
          <w:szCs w:val="28"/>
        </w:rPr>
      </w:pPr>
    </w:p>
    <w:p w14:paraId="40A42CF8" w14:textId="6CFA7AB0" w:rsidR="005E0AAB" w:rsidRDefault="009E797D" w:rsidP="00AD3C55">
      <w:pPr>
        <w:rPr>
          <w:rFonts w:ascii="Garamond" w:hAnsi="Garamond"/>
          <w:sz w:val="28"/>
          <w:szCs w:val="28"/>
        </w:rPr>
      </w:pPr>
      <w:r>
        <w:rPr>
          <w:rFonts w:ascii="Garamond" w:hAnsi="Garamond"/>
          <w:sz w:val="28"/>
          <w:szCs w:val="28"/>
        </w:rPr>
        <w:t>Hartley, C. &amp; Watson, L. (2010) ‘Is a Feminist Political Liberalism Possible?’</w:t>
      </w:r>
    </w:p>
    <w:p w14:paraId="38B09986" w14:textId="3B7A37F5" w:rsidR="00641678" w:rsidRDefault="00641678" w:rsidP="00AD3C55">
      <w:pPr>
        <w:rPr>
          <w:rFonts w:ascii="Garamond" w:hAnsi="Garamond"/>
          <w:sz w:val="28"/>
          <w:szCs w:val="28"/>
        </w:rPr>
      </w:pPr>
      <w:r>
        <w:rPr>
          <w:rFonts w:ascii="Garamond" w:hAnsi="Garamond"/>
          <w:sz w:val="28"/>
          <w:szCs w:val="28"/>
        </w:rPr>
        <w:t>Nussbaum, M. (2000) ‘The Future of Feminist Liberalism’</w:t>
      </w:r>
    </w:p>
    <w:p w14:paraId="4B86AD04" w14:textId="691156D1" w:rsidR="00641678" w:rsidRDefault="00641678" w:rsidP="00641678">
      <w:pPr>
        <w:rPr>
          <w:rFonts w:ascii="Garamond" w:hAnsi="Garamond"/>
          <w:sz w:val="28"/>
          <w:szCs w:val="28"/>
        </w:rPr>
      </w:pPr>
      <w:r>
        <w:rPr>
          <w:rFonts w:ascii="Garamond" w:hAnsi="Garamond"/>
          <w:sz w:val="28"/>
          <w:szCs w:val="28"/>
        </w:rPr>
        <w:t>Nussbaum, M. (1997) ‘The Feminist Critique of Liberalism’</w:t>
      </w:r>
    </w:p>
    <w:p w14:paraId="6A1840CE" w14:textId="4B57951B" w:rsidR="001963C1" w:rsidRDefault="001963C1" w:rsidP="00641678">
      <w:pPr>
        <w:rPr>
          <w:rFonts w:ascii="Garamond" w:hAnsi="Garamond"/>
          <w:sz w:val="28"/>
          <w:szCs w:val="28"/>
        </w:rPr>
      </w:pPr>
      <w:r>
        <w:rPr>
          <w:rFonts w:ascii="Garamond" w:hAnsi="Garamond"/>
          <w:sz w:val="28"/>
          <w:szCs w:val="28"/>
        </w:rPr>
        <w:t xml:space="preserve">Okin, S. M. (1994) </w:t>
      </w:r>
      <w:r w:rsidRPr="001963C1">
        <w:rPr>
          <w:rFonts w:ascii="Garamond" w:hAnsi="Garamond"/>
          <w:sz w:val="28"/>
          <w:szCs w:val="28"/>
        </w:rPr>
        <w:t>‘</w:t>
      </w:r>
      <w:r w:rsidRPr="001963C1">
        <w:rPr>
          <w:rFonts w:ascii="Garamond" w:hAnsi="Garamond"/>
          <w:i/>
          <w:iCs/>
          <w:sz w:val="28"/>
          <w:szCs w:val="28"/>
        </w:rPr>
        <w:t>Political Liberalism</w:t>
      </w:r>
      <w:r w:rsidRPr="001963C1">
        <w:rPr>
          <w:rFonts w:ascii="Garamond" w:hAnsi="Garamond"/>
          <w:sz w:val="28"/>
          <w:szCs w:val="28"/>
        </w:rPr>
        <w:t>, Justice, and Gender’</w:t>
      </w:r>
    </w:p>
    <w:p w14:paraId="3EF14EB7" w14:textId="6A946E21" w:rsidR="006409D8" w:rsidRDefault="006409D8" w:rsidP="00641678">
      <w:pPr>
        <w:rPr>
          <w:rFonts w:ascii="Garamond" w:hAnsi="Garamond"/>
          <w:sz w:val="28"/>
          <w:szCs w:val="28"/>
        </w:rPr>
      </w:pPr>
      <w:r>
        <w:rPr>
          <w:rFonts w:ascii="Garamond" w:hAnsi="Garamond"/>
          <w:sz w:val="28"/>
          <w:szCs w:val="28"/>
        </w:rPr>
        <w:t>Okin, S. M. (2004) ‘</w:t>
      </w:r>
      <w:r w:rsidRPr="006409D8">
        <w:rPr>
          <w:rFonts w:ascii="Garamond" w:hAnsi="Garamond"/>
          <w:sz w:val="28"/>
          <w:szCs w:val="28"/>
        </w:rPr>
        <w:t>Equal Citizenship: Gender Justice and Gender: An Unfinished Debate’</w:t>
      </w:r>
    </w:p>
    <w:p w14:paraId="12088D93" w14:textId="3FDB69F9" w:rsidR="009D07E8" w:rsidRPr="009D07E8" w:rsidRDefault="009D07E8" w:rsidP="00641678">
      <w:pPr>
        <w:rPr>
          <w:rFonts w:ascii="Garamond" w:hAnsi="Garamond"/>
          <w:i/>
          <w:iCs/>
          <w:sz w:val="28"/>
          <w:szCs w:val="28"/>
        </w:rPr>
      </w:pPr>
      <w:r>
        <w:rPr>
          <w:rFonts w:ascii="Garamond" w:hAnsi="Garamond"/>
          <w:sz w:val="28"/>
          <w:szCs w:val="28"/>
        </w:rPr>
        <w:t xml:space="preserve">Pateman, C. (1988) </w:t>
      </w:r>
      <w:r>
        <w:rPr>
          <w:rFonts w:ascii="Garamond" w:hAnsi="Garamond"/>
          <w:i/>
          <w:iCs/>
          <w:sz w:val="28"/>
          <w:szCs w:val="28"/>
        </w:rPr>
        <w:t>The Sexual Contract</w:t>
      </w:r>
    </w:p>
    <w:sectPr w:rsidR="009D07E8" w:rsidRPr="009D07E8">
      <w:headerReference w:type="even" r:id="rId7"/>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B25FF" w14:textId="77777777" w:rsidR="009A5CBD" w:rsidRDefault="009A5CBD" w:rsidP="004D2E27">
      <w:r>
        <w:separator/>
      </w:r>
    </w:p>
  </w:endnote>
  <w:endnote w:type="continuationSeparator" w:id="0">
    <w:p w14:paraId="697B6513" w14:textId="77777777" w:rsidR="009A5CBD" w:rsidRDefault="009A5CBD" w:rsidP="004D2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610FEC" w14:textId="77777777" w:rsidR="009A5CBD" w:rsidRDefault="009A5CBD" w:rsidP="004D2E27">
      <w:r>
        <w:separator/>
      </w:r>
    </w:p>
  </w:footnote>
  <w:footnote w:type="continuationSeparator" w:id="0">
    <w:p w14:paraId="692FF10F" w14:textId="77777777" w:rsidR="009A5CBD" w:rsidRDefault="009A5CBD" w:rsidP="004D2E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8962800"/>
      <w:docPartObj>
        <w:docPartGallery w:val="Page Numbers (Top of Page)"/>
        <w:docPartUnique/>
      </w:docPartObj>
    </w:sdtPr>
    <w:sdtContent>
      <w:p w14:paraId="43691037" w14:textId="040E3820" w:rsidR="00286567" w:rsidRDefault="00286567"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621774" w14:textId="77777777" w:rsidR="00286567" w:rsidRDefault="00286567" w:rsidP="0028656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1426474"/>
      <w:docPartObj>
        <w:docPartGallery w:val="Page Numbers (Top of Page)"/>
        <w:docPartUnique/>
      </w:docPartObj>
    </w:sdtPr>
    <w:sdtContent>
      <w:p w14:paraId="0281AA6F" w14:textId="74346C96" w:rsidR="00286567" w:rsidRDefault="00286567"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0C9899" w14:textId="77777777" w:rsidR="008B4E54" w:rsidRPr="00491485" w:rsidRDefault="008B4E54" w:rsidP="008B4E54">
    <w:pPr>
      <w:rPr>
        <w:rFonts w:ascii="Garamond" w:hAnsi="Garamond"/>
        <w:sz w:val="28"/>
        <w:szCs w:val="28"/>
      </w:rPr>
    </w:pPr>
    <w:r w:rsidRPr="00491485">
      <w:rPr>
        <w:rFonts w:ascii="Garamond" w:hAnsi="Garamond"/>
        <w:sz w:val="28"/>
        <w:szCs w:val="28"/>
      </w:rPr>
      <w:t>Alexander Bryan</w:t>
    </w:r>
    <w:r w:rsidRPr="008B4E54">
      <w:rPr>
        <w:rFonts w:ascii="Garamond" w:hAnsi="Garamond"/>
        <w:color w:val="000000" w:themeColor="text1"/>
        <w:sz w:val="28"/>
        <w:szCs w:val="28"/>
      </w:rPr>
      <w:t xml:space="preserve">, </w:t>
    </w:r>
    <w:hyperlink r:id="rId1" w:history="1">
      <w:r w:rsidRPr="008B4E54">
        <w:rPr>
          <w:rStyle w:val="Hyperlink"/>
          <w:rFonts w:ascii="Garamond" w:hAnsi="Garamond"/>
          <w:color w:val="000000" w:themeColor="text1"/>
          <w:sz w:val="28"/>
          <w:szCs w:val="28"/>
        </w:rPr>
        <w:t>ajb387@cam.ac.uk</w:t>
      </w:r>
    </w:hyperlink>
  </w:p>
  <w:p w14:paraId="196379E1" w14:textId="09609660" w:rsidR="004D2E27" w:rsidRDefault="004D2E27" w:rsidP="00286567">
    <w:pPr>
      <w:pStyle w:val="Header"/>
      <w:ind w:right="360"/>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E33"/>
    <w:multiLevelType w:val="hybridMultilevel"/>
    <w:tmpl w:val="01CE96A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ED21A06"/>
    <w:multiLevelType w:val="hybridMultilevel"/>
    <w:tmpl w:val="2AD0E2B4"/>
    <w:lvl w:ilvl="0" w:tplc="EC9E1FE6">
      <w:start w:val="3"/>
      <w:numFmt w:val="bullet"/>
      <w:lvlText w:val="-"/>
      <w:lvlJc w:val="left"/>
      <w:pPr>
        <w:ind w:left="720" w:hanging="360"/>
      </w:pPr>
      <w:rPr>
        <w:rFonts w:ascii="Garamond" w:eastAsiaTheme="minorHAnsi" w:hAnsi="Garamond"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7083808">
    <w:abstractNumId w:val="0"/>
  </w:num>
  <w:num w:numId="2" w16cid:durableId="5501135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4AC"/>
    <w:rsid w:val="000032D5"/>
    <w:rsid w:val="00012113"/>
    <w:rsid w:val="000236D4"/>
    <w:rsid w:val="0005615E"/>
    <w:rsid w:val="000658F0"/>
    <w:rsid w:val="0008675E"/>
    <w:rsid w:val="001109C1"/>
    <w:rsid w:val="00122F7A"/>
    <w:rsid w:val="00145F80"/>
    <w:rsid w:val="001619EA"/>
    <w:rsid w:val="00177CFC"/>
    <w:rsid w:val="00181F59"/>
    <w:rsid w:val="001963C1"/>
    <w:rsid w:val="001B1B2F"/>
    <w:rsid w:val="001B3A56"/>
    <w:rsid w:val="001B3F17"/>
    <w:rsid w:val="0022145E"/>
    <w:rsid w:val="00227B0D"/>
    <w:rsid w:val="00231E6E"/>
    <w:rsid w:val="00234CE7"/>
    <w:rsid w:val="002358C0"/>
    <w:rsid w:val="002760C6"/>
    <w:rsid w:val="00286567"/>
    <w:rsid w:val="0029313B"/>
    <w:rsid w:val="00297D7E"/>
    <w:rsid w:val="002B519B"/>
    <w:rsid w:val="002D54E9"/>
    <w:rsid w:val="002E0D13"/>
    <w:rsid w:val="00302EFC"/>
    <w:rsid w:val="00302F61"/>
    <w:rsid w:val="00304AAF"/>
    <w:rsid w:val="00311CA1"/>
    <w:rsid w:val="0031363D"/>
    <w:rsid w:val="00313CC7"/>
    <w:rsid w:val="00336A8B"/>
    <w:rsid w:val="00361D61"/>
    <w:rsid w:val="003A6070"/>
    <w:rsid w:val="003B430A"/>
    <w:rsid w:val="003C03F2"/>
    <w:rsid w:val="003D30DD"/>
    <w:rsid w:val="003D5A01"/>
    <w:rsid w:val="003F1804"/>
    <w:rsid w:val="003F3B65"/>
    <w:rsid w:val="00405A59"/>
    <w:rsid w:val="0041652F"/>
    <w:rsid w:val="004200F1"/>
    <w:rsid w:val="00422E78"/>
    <w:rsid w:val="00434C3B"/>
    <w:rsid w:val="004414CB"/>
    <w:rsid w:val="0045473D"/>
    <w:rsid w:val="00491485"/>
    <w:rsid w:val="004A6068"/>
    <w:rsid w:val="004A6DD3"/>
    <w:rsid w:val="004B5145"/>
    <w:rsid w:val="004C0FEA"/>
    <w:rsid w:val="004C501D"/>
    <w:rsid w:val="004D25B2"/>
    <w:rsid w:val="004D2E27"/>
    <w:rsid w:val="005011D3"/>
    <w:rsid w:val="00506702"/>
    <w:rsid w:val="005204E2"/>
    <w:rsid w:val="00540FF9"/>
    <w:rsid w:val="00547617"/>
    <w:rsid w:val="0055479D"/>
    <w:rsid w:val="00566179"/>
    <w:rsid w:val="005670B0"/>
    <w:rsid w:val="00570730"/>
    <w:rsid w:val="00571BFE"/>
    <w:rsid w:val="0058086C"/>
    <w:rsid w:val="00584389"/>
    <w:rsid w:val="00587EF5"/>
    <w:rsid w:val="005B4043"/>
    <w:rsid w:val="005B4FAC"/>
    <w:rsid w:val="005C1914"/>
    <w:rsid w:val="005D3D6E"/>
    <w:rsid w:val="005D6A76"/>
    <w:rsid w:val="005E0AAB"/>
    <w:rsid w:val="005F0940"/>
    <w:rsid w:val="00631330"/>
    <w:rsid w:val="006409D8"/>
    <w:rsid w:val="00641678"/>
    <w:rsid w:val="006A1F1E"/>
    <w:rsid w:val="006D5D6F"/>
    <w:rsid w:val="006E3245"/>
    <w:rsid w:val="00711A29"/>
    <w:rsid w:val="0072331A"/>
    <w:rsid w:val="0072332B"/>
    <w:rsid w:val="00730B0E"/>
    <w:rsid w:val="00737106"/>
    <w:rsid w:val="0073784C"/>
    <w:rsid w:val="0074487D"/>
    <w:rsid w:val="007733B5"/>
    <w:rsid w:val="007845AF"/>
    <w:rsid w:val="00797D58"/>
    <w:rsid w:val="007A3E05"/>
    <w:rsid w:val="007B1839"/>
    <w:rsid w:val="007C14DC"/>
    <w:rsid w:val="007C3EC8"/>
    <w:rsid w:val="007E4BB6"/>
    <w:rsid w:val="00801081"/>
    <w:rsid w:val="008059B8"/>
    <w:rsid w:val="00807847"/>
    <w:rsid w:val="00807A1D"/>
    <w:rsid w:val="00810B20"/>
    <w:rsid w:val="00836404"/>
    <w:rsid w:val="0084583B"/>
    <w:rsid w:val="00847871"/>
    <w:rsid w:val="00853887"/>
    <w:rsid w:val="00855D8D"/>
    <w:rsid w:val="00863B47"/>
    <w:rsid w:val="0086491F"/>
    <w:rsid w:val="00873918"/>
    <w:rsid w:val="008A4E5B"/>
    <w:rsid w:val="008B485F"/>
    <w:rsid w:val="008B4E54"/>
    <w:rsid w:val="008B5720"/>
    <w:rsid w:val="008D21D8"/>
    <w:rsid w:val="008D3565"/>
    <w:rsid w:val="008D5CA5"/>
    <w:rsid w:val="008E4767"/>
    <w:rsid w:val="008E691E"/>
    <w:rsid w:val="008F720A"/>
    <w:rsid w:val="009160C5"/>
    <w:rsid w:val="0093182D"/>
    <w:rsid w:val="00944585"/>
    <w:rsid w:val="0096303B"/>
    <w:rsid w:val="00973370"/>
    <w:rsid w:val="00974C61"/>
    <w:rsid w:val="009829AB"/>
    <w:rsid w:val="0098310D"/>
    <w:rsid w:val="00986BCB"/>
    <w:rsid w:val="00994F1E"/>
    <w:rsid w:val="00996394"/>
    <w:rsid w:val="009A5CBD"/>
    <w:rsid w:val="009B177B"/>
    <w:rsid w:val="009B3821"/>
    <w:rsid w:val="009D07E8"/>
    <w:rsid w:val="009D113D"/>
    <w:rsid w:val="009D5FFB"/>
    <w:rsid w:val="009E4A09"/>
    <w:rsid w:val="009E797D"/>
    <w:rsid w:val="00A17169"/>
    <w:rsid w:val="00A334DC"/>
    <w:rsid w:val="00A41696"/>
    <w:rsid w:val="00A50935"/>
    <w:rsid w:val="00A57366"/>
    <w:rsid w:val="00A94868"/>
    <w:rsid w:val="00AA79D6"/>
    <w:rsid w:val="00AD3C55"/>
    <w:rsid w:val="00AF70E7"/>
    <w:rsid w:val="00B07860"/>
    <w:rsid w:val="00B24540"/>
    <w:rsid w:val="00B32AC8"/>
    <w:rsid w:val="00B431DB"/>
    <w:rsid w:val="00B466A3"/>
    <w:rsid w:val="00B52EBE"/>
    <w:rsid w:val="00B676D3"/>
    <w:rsid w:val="00B91A32"/>
    <w:rsid w:val="00BA5B29"/>
    <w:rsid w:val="00BB34AC"/>
    <w:rsid w:val="00BD4A31"/>
    <w:rsid w:val="00BD7784"/>
    <w:rsid w:val="00BE4ADD"/>
    <w:rsid w:val="00C05F59"/>
    <w:rsid w:val="00C17316"/>
    <w:rsid w:val="00C25D04"/>
    <w:rsid w:val="00C30935"/>
    <w:rsid w:val="00C30E3D"/>
    <w:rsid w:val="00C470DB"/>
    <w:rsid w:val="00C47B69"/>
    <w:rsid w:val="00C51B93"/>
    <w:rsid w:val="00C67D57"/>
    <w:rsid w:val="00C75539"/>
    <w:rsid w:val="00C971CF"/>
    <w:rsid w:val="00CA5430"/>
    <w:rsid w:val="00CB270E"/>
    <w:rsid w:val="00CE1DF0"/>
    <w:rsid w:val="00CE2B46"/>
    <w:rsid w:val="00CE3C38"/>
    <w:rsid w:val="00D55867"/>
    <w:rsid w:val="00D76D1E"/>
    <w:rsid w:val="00D921EF"/>
    <w:rsid w:val="00DD394C"/>
    <w:rsid w:val="00DE5B08"/>
    <w:rsid w:val="00DF6AC1"/>
    <w:rsid w:val="00E054CD"/>
    <w:rsid w:val="00E0689E"/>
    <w:rsid w:val="00E21ED6"/>
    <w:rsid w:val="00E70C4C"/>
    <w:rsid w:val="00E81B27"/>
    <w:rsid w:val="00E83621"/>
    <w:rsid w:val="00E92D80"/>
    <w:rsid w:val="00E9770F"/>
    <w:rsid w:val="00EB5994"/>
    <w:rsid w:val="00ED245A"/>
    <w:rsid w:val="00EF1FCA"/>
    <w:rsid w:val="00EF52C2"/>
    <w:rsid w:val="00F000D5"/>
    <w:rsid w:val="00F20F39"/>
    <w:rsid w:val="00F2142B"/>
    <w:rsid w:val="00F21BC5"/>
    <w:rsid w:val="00F30403"/>
    <w:rsid w:val="00F35F84"/>
    <w:rsid w:val="00F574F0"/>
    <w:rsid w:val="00F65C82"/>
    <w:rsid w:val="00F91ECE"/>
    <w:rsid w:val="00F97FA2"/>
    <w:rsid w:val="00FD0691"/>
    <w:rsid w:val="00FE3E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9AE0B9C"/>
  <w15:chartTrackingRefBased/>
  <w15:docId w15:val="{8E083096-F951-4A4C-A2EB-D4F10D7C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4AC"/>
    <w:rPr>
      <w:color w:val="0563C1" w:themeColor="hyperlink"/>
      <w:u w:val="single"/>
    </w:rPr>
  </w:style>
  <w:style w:type="character" w:styleId="UnresolvedMention">
    <w:name w:val="Unresolved Mention"/>
    <w:basedOn w:val="DefaultParagraphFont"/>
    <w:uiPriority w:val="99"/>
    <w:semiHidden/>
    <w:unhideWhenUsed/>
    <w:rsid w:val="00BB34AC"/>
    <w:rPr>
      <w:color w:val="605E5C"/>
      <w:shd w:val="clear" w:color="auto" w:fill="E1DFDD"/>
    </w:rPr>
  </w:style>
  <w:style w:type="paragraph" w:styleId="ListParagraph">
    <w:name w:val="List Paragraph"/>
    <w:basedOn w:val="Normal"/>
    <w:uiPriority w:val="34"/>
    <w:qFormat/>
    <w:rsid w:val="009B3821"/>
    <w:pPr>
      <w:ind w:left="720"/>
      <w:contextualSpacing/>
    </w:pPr>
  </w:style>
  <w:style w:type="paragraph" w:styleId="Header">
    <w:name w:val="header"/>
    <w:basedOn w:val="Normal"/>
    <w:link w:val="HeaderChar"/>
    <w:uiPriority w:val="99"/>
    <w:unhideWhenUsed/>
    <w:rsid w:val="004D2E27"/>
    <w:pPr>
      <w:tabs>
        <w:tab w:val="center" w:pos="4513"/>
        <w:tab w:val="right" w:pos="9026"/>
      </w:tabs>
    </w:pPr>
  </w:style>
  <w:style w:type="character" w:customStyle="1" w:styleId="HeaderChar">
    <w:name w:val="Header Char"/>
    <w:basedOn w:val="DefaultParagraphFont"/>
    <w:link w:val="Header"/>
    <w:uiPriority w:val="99"/>
    <w:rsid w:val="004D2E27"/>
  </w:style>
  <w:style w:type="paragraph" w:styleId="Footer">
    <w:name w:val="footer"/>
    <w:basedOn w:val="Normal"/>
    <w:link w:val="FooterChar"/>
    <w:uiPriority w:val="99"/>
    <w:unhideWhenUsed/>
    <w:rsid w:val="004D2E27"/>
    <w:pPr>
      <w:tabs>
        <w:tab w:val="center" w:pos="4513"/>
        <w:tab w:val="right" w:pos="9026"/>
      </w:tabs>
    </w:pPr>
  </w:style>
  <w:style w:type="character" w:customStyle="1" w:styleId="FooterChar">
    <w:name w:val="Footer Char"/>
    <w:basedOn w:val="DefaultParagraphFont"/>
    <w:link w:val="Footer"/>
    <w:uiPriority w:val="99"/>
    <w:rsid w:val="004D2E27"/>
  </w:style>
  <w:style w:type="character" w:styleId="PageNumber">
    <w:name w:val="page number"/>
    <w:basedOn w:val="DefaultParagraphFont"/>
    <w:uiPriority w:val="99"/>
    <w:semiHidden/>
    <w:unhideWhenUsed/>
    <w:rsid w:val="00286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hyperlink" Target="mailto:ajb387@c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948</Words>
  <Characters>5407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Bryan</dc:creator>
  <cp:keywords/>
  <dc:description/>
  <cp:lastModifiedBy>Alexander Bryan</cp:lastModifiedBy>
  <cp:revision>39</cp:revision>
  <dcterms:created xsi:type="dcterms:W3CDTF">2024-02-12T15:48:00Z</dcterms:created>
  <dcterms:modified xsi:type="dcterms:W3CDTF">2026-03-10T15:05:00Z</dcterms:modified>
</cp:coreProperties>
</file>