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CAA7F5" w14:textId="77777777" w:rsidR="003A3FFC" w:rsidRPr="002B1587" w:rsidRDefault="003A3FFC" w:rsidP="003A3FFC">
      <w:pPr>
        <w:rPr>
          <w:rFonts w:ascii="Garamond" w:hAnsi="Garamond"/>
          <w:b/>
          <w:bCs/>
          <w:sz w:val="28"/>
          <w:szCs w:val="28"/>
        </w:rPr>
      </w:pPr>
      <w:r w:rsidRPr="002B1587">
        <w:rPr>
          <w:rFonts w:ascii="Garamond" w:hAnsi="Garamond"/>
          <w:b/>
          <w:bCs/>
          <w:sz w:val="28"/>
          <w:szCs w:val="28"/>
        </w:rPr>
        <w:t>Equality of Opportunity, Part IA Ethics and Political Philosophy</w:t>
      </w:r>
    </w:p>
    <w:p w14:paraId="2DE0115F" w14:textId="6486845E" w:rsidR="00361D61" w:rsidRPr="002B1587" w:rsidRDefault="003A3FFC">
      <w:pPr>
        <w:rPr>
          <w:rFonts w:ascii="Garamond" w:hAnsi="Garamond"/>
          <w:sz w:val="28"/>
          <w:szCs w:val="28"/>
        </w:rPr>
      </w:pPr>
      <w:r w:rsidRPr="002B1587">
        <w:rPr>
          <w:rFonts w:ascii="Garamond" w:hAnsi="Garamond"/>
          <w:sz w:val="28"/>
          <w:szCs w:val="28"/>
        </w:rPr>
        <w:t>Lecture 4, Positive Discrimination</w:t>
      </w:r>
    </w:p>
    <w:p w14:paraId="6C2579FF" w14:textId="4FA21E42" w:rsidR="003A3FFC" w:rsidRDefault="003A3FFC">
      <w:pPr>
        <w:rPr>
          <w:rFonts w:ascii="Garamond" w:hAnsi="Garamond"/>
          <w:sz w:val="28"/>
          <w:szCs w:val="28"/>
        </w:rPr>
      </w:pPr>
    </w:p>
    <w:p w14:paraId="6BE71904" w14:textId="05C766EE" w:rsidR="00C850CD" w:rsidRPr="00A837FE" w:rsidRDefault="00C850CD" w:rsidP="00C850CD">
      <w:pPr>
        <w:pStyle w:val="ListParagraph"/>
        <w:numPr>
          <w:ilvl w:val="0"/>
          <w:numId w:val="1"/>
        </w:numPr>
        <w:rPr>
          <w:rFonts w:ascii="Garamond" w:hAnsi="Garamond"/>
          <w:b/>
          <w:bCs/>
          <w:sz w:val="28"/>
          <w:szCs w:val="28"/>
        </w:rPr>
      </w:pPr>
      <w:r w:rsidRPr="00A837FE">
        <w:rPr>
          <w:rFonts w:ascii="Garamond" w:hAnsi="Garamond"/>
          <w:b/>
          <w:bCs/>
          <w:sz w:val="28"/>
          <w:szCs w:val="28"/>
        </w:rPr>
        <w:t>Introduction</w:t>
      </w:r>
    </w:p>
    <w:p w14:paraId="0214B762" w14:textId="5044C15B" w:rsidR="00C850CD" w:rsidRDefault="00C850CD" w:rsidP="00C850CD">
      <w:pPr>
        <w:pStyle w:val="ListParagraph"/>
        <w:numPr>
          <w:ilvl w:val="1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What can be done about the failure to realise substantive accounts of equality of opportunity?</w:t>
      </w:r>
    </w:p>
    <w:p w14:paraId="63FADEA3" w14:textId="38B2AD58" w:rsidR="00E43306" w:rsidRPr="00102740" w:rsidRDefault="00C850CD" w:rsidP="00102740">
      <w:pPr>
        <w:pStyle w:val="ListParagraph"/>
        <w:numPr>
          <w:ilvl w:val="1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Most influential remedial response is the introduction of </w:t>
      </w:r>
      <w:r>
        <w:rPr>
          <w:rFonts w:ascii="Garamond" w:hAnsi="Garamond"/>
          <w:i/>
          <w:iCs/>
          <w:sz w:val="28"/>
          <w:szCs w:val="28"/>
        </w:rPr>
        <w:t>positive discrimination programmes</w:t>
      </w:r>
      <w:r w:rsidR="00E43306">
        <w:rPr>
          <w:rFonts w:ascii="Garamond" w:hAnsi="Garamond"/>
          <w:sz w:val="28"/>
          <w:szCs w:val="28"/>
        </w:rPr>
        <w:t>, which correct for existing or historical injustice by preferring candidates subject to discrimination or disadvantage on some relevant metric over equally qualified candidates from other demographics.</w:t>
      </w:r>
    </w:p>
    <w:p w14:paraId="7A840034" w14:textId="77777777" w:rsidR="003E2811" w:rsidRDefault="003E2811" w:rsidP="003E2811">
      <w:pPr>
        <w:rPr>
          <w:rFonts w:ascii="Garamond" w:hAnsi="Garamond"/>
          <w:sz w:val="28"/>
          <w:szCs w:val="28"/>
        </w:rPr>
      </w:pPr>
    </w:p>
    <w:p w14:paraId="757703F2" w14:textId="434FFEEC" w:rsidR="003E2811" w:rsidRPr="00A837FE" w:rsidRDefault="003E2811" w:rsidP="003E2811">
      <w:pPr>
        <w:pStyle w:val="ListParagraph"/>
        <w:numPr>
          <w:ilvl w:val="0"/>
          <w:numId w:val="1"/>
        </w:numPr>
        <w:rPr>
          <w:rFonts w:ascii="Garamond" w:hAnsi="Garamond"/>
          <w:b/>
          <w:bCs/>
          <w:sz w:val="28"/>
          <w:szCs w:val="28"/>
        </w:rPr>
      </w:pPr>
      <w:r w:rsidRPr="00A837FE">
        <w:rPr>
          <w:rFonts w:ascii="Garamond" w:hAnsi="Garamond"/>
          <w:b/>
          <w:bCs/>
          <w:sz w:val="28"/>
          <w:szCs w:val="28"/>
        </w:rPr>
        <w:t>The Dilemma</w:t>
      </w:r>
    </w:p>
    <w:p w14:paraId="0FBD6FB7" w14:textId="5AD3D65A" w:rsidR="003E2811" w:rsidRDefault="003E2811" w:rsidP="003E2811">
      <w:pPr>
        <w:pStyle w:val="ListParagraph"/>
        <w:numPr>
          <w:ilvl w:val="1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Positive discrimination programmes must all pay some attention to characteristics of candidates such as race, gender, sexuality – that is, characteristics beyond what are conventionally viewed as qualifications for the job or position.</w:t>
      </w:r>
    </w:p>
    <w:p w14:paraId="3B6BA195" w14:textId="43D26053" w:rsidR="003E2811" w:rsidRDefault="003E2811" w:rsidP="003E2811">
      <w:pPr>
        <w:pStyle w:val="ListParagraph"/>
        <w:numPr>
          <w:ilvl w:val="1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This seems to conflict with the most fundamental intuition in accounts of equality of opportunity</w:t>
      </w:r>
      <w:r w:rsidR="00082E34">
        <w:rPr>
          <w:rFonts w:ascii="Garamond" w:hAnsi="Garamond"/>
          <w:sz w:val="28"/>
          <w:szCs w:val="28"/>
        </w:rPr>
        <w:t xml:space="preserve"> -</w:t>
      </w:r>
      <w:r>
        <w:rPr>
          <w:rFonts w:ascii="Garamond" w:hAnsi="Garamond"/>
          <w:sz w:val="28"/>
          <w:szCs w:val="28"/>
        </w:rPr>
        <w:t xml:space="preserve"> that opportunities should not be distributed on the basis of morally arbitrary characteristics</w:t>
      </w:r>
    </w:p>
    <w:p w14:paraId="6360F388" w14:textId="79B48C17" w:rsidR="002B107F" w:rsidRDefault="002B107F" w:rsidP="003E2811">
      <w:pPr>
        <w:pStyle w:val="ListParagraph"/>
        <w:numPr>
          <w:ilvl w:val="1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We might then seem to be faced with a dilemma: either positive discrimination policies themselves violate the principle of impartiality; or we drop that principle, and consequently lose </w:t>
      </w:r>
      <w:r w:rsidR="000276CB">
        <w:rPr>
          <w:rFonts w:ascii="Garamond" w:hAnsi="Garamond"/>
          <w:sz w:val="28"/>
          <w:szCs w:val="28"/>
        </w:rPr>
        <w:t>the capacity to object to discrimination in other cases.</w:t>
      </w:r>
    </w:p>
    <w:p w14:paraId="2B4F999C" w14:textId="063ED770" w:rsidR="00590E7E" w:rsidRDefault="00590E7E" w:rsidP="00590E7E">
      <w:pPr>
        <w:rPr>
          <w:rFonts w:ascii="Garamond" w:hAnsi="Garamond"/>
          <w:sz w:val="28"/>
          <w:szCs w:val="28"/>
        </w:rPr>
      </w:pPr>
    </w:p>
    <w:p w14:paraId="40F567B9" w14:textId="3DBF9383" w:rsidR="00590E7E" w:rsidRPr="00A837FE" w:rsidRDefault="00590E7E" w:rsidP="00590E7E">
      <w:pPr>
        <w:pStyle w:val="ListParagraph"/>
        <w:numPr>
          <w:ilvl w:val="0"/>
          <w:numId w:val="1"/>
        </w:numPr>
        <w:rPr>
          <w:rFonts w:ascii="Garamond" w:hAnsi="Garamond"/>
          <w:b/>
          <w:bCs/>
          <w:sz w:val="28"/>
          <w:szCs w:val="28"/>
        </w:rPr>
      </w:pPr>
      <w:r w:rsidRPr="00A837FE">
        <w:rPr>
          <w:rFonts w:ascii="Garamond" w:hAnsi="Garamond"/>
          <w:b/>
          <w:bCs/>
          <w:sz w:val="28"/>
          <w:szCs w:val="28"/>
        </w:rPr>
        <w:t>First possible response: Positive discrimination is impermissible, and contrary to equality of opportunity</w:t>
      </w:r>
    </w:p>
    <w:p w14:paraId="2E63BBCC" w14:textId="20C6D290" w:rsidR="00590E7E" w:rsidRDefault="00590E7E" w:rsidP="00590E7E">
      <w:pPr>
        <w:pStyle w:val="ListParagraph"/>
        <w:numPr>
          <w:ilvl w:val="1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Principle of impartiality requires that procedures for selection be ‘colour-blind’. Positive discrimination is necessarily not ‘colour-blind’, so violates the principle of impartiality.</w:t>
      </w:r>
    </w:p>
    <w:p w14:paraId="7A86DE2F" w14:textId="388565E4" w:rsidR="00590E7E" w:rsidRDefault="00590E7E" w:rsidP="00590E7E">
      <w:pPr>
        <w:pStyle w:val="ListParagraph"/>
        <w:numPr>
          <w:ilvl w:val="1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Objection: Discrimination is not always </w:t>
      </w:r>
      <w:r w:rsidR="002775F4">
        <w:rPr>
          <w:rFonts w:ascii="Garamond" w:hAnsi="Garamond"/>
          <w:sz w:val="28"/>
          <w:szCs w:val="28"/>
        </w:rPr>
        <w:t>impermissible</w:t>
      </w:r>
      <w:r>
        <w:rPr>
          <w:rFonts w:ascii="Garamond" w:hAnsi="Garamond"/>
          <w:sz w:val="28"/>
          <w:szCs w:val="28"/>
        </w:rPr>
        <w:t>.</w:t>
      </w:r>
    </w:p>
    <w:p w14:paraId="2424F1D1" w14:textId="2C246583" w:rsidR="001C0AA3" w:rsidRDefault="001C0AA3" w:rsidP="001C0AA3">
      <w:pPr>
        <w:pStyle w:val="ListParagraph"/>
        <w:numPr>
          <w:ilvl w:val="2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Arneson (2006, 779): only discrimination which is based on ‘unwarranted animus or prejudice’ is morally wrong</w:t>
      </w:r>
    </w:p>
    <w:p w14:paraId="54CDE0B0" w14:textId="3BBE200C" w:rsidR="00661774" w:rsidRDefault="00661774" w:rsidP="001C0AA3">
      <w:pPr>
        <w:pStyle w:val="ListParagraph"/>
        <w:numPr>
          <w:ilvl w:val="2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Discrimination not based on animus can be permissible: these policies only regard racial preferences as instrumental to some further legitimate goal (Anderson, 2013, 162).</w:t>
      </w:r>
      <w:r w:rsidR="004E7A7E">
        <w:rPr>
          <w:rFonts w:ascii="Garamond" w:hAnsi="Garamond"/>
          <w:sz w:val="28"/>
          <w:szCs w:val="28"/>
        </w:rPr>
        <w:t xml:space="preserve"> Nor do they rely on stereotypes or prejudices, as they view external conditions rather than intrinsic limitations to explain differences in outcome in unjust circumstances.</w:t>
      </w:r>
    </w:p>
    <w:p w14:paraId="500A04F8" w14:textId="44C2567B" w:rsidR="004E7A7E" w:rsidRDefault="004E7A7E" w:rsidP="004E7A7E">
      <w:pPr>
        <w:pStyle w:val="ListParagraph"/>
        <w:numPr>
          <w:ilvl w:val="2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Lippert-Rasmussen: discrimination is only bad when it is harmful. </w:t>
      </w:r>
    </w:p>
    <w:p w14:paraId="37C6DDFF" w14:textId="77777777" w:rsidR="007F01EA" w:rsidRDefault="007F01EA" w:rsidP="007F01EA">
      <w:pPr>
        <w:rPr>
          <w:rFonts w:ascii="Garamond" w:hAnsi="Garamond"/>
          <w:sz w:val="28"/>
          <w:szCs w:val="28"/>
        </w:rPr>
      </w:pPr>
    </w:p>
    <w:p w14:paraId="71906411" w14:textId="175C22F5" w:rsidR="007F01EA" w:rsidRDefault="007F01EA" w:rsidP="007F01EA">
      <w:pPr>
        <w:pStyle w:val="ListParagraph"/>
        <w:numPr>
          <w:ilvl w:val="0"/>
          <w:numId w:val="1"/>
        </w:numPr>
        <w:rPr>
          <w:rFonts w:ascii="Garamond" w:hAnsi="Garamond"/>
          <w:sz w:val="28"/>
          <w:szCs w:val="28"/>
        </w:rPr>
      </w:pPr>
      <w:r w:rsidRPr="00A837FE">
        <w:rPr>
          <w:rFonts w:ascii="Garamond" w:hAnsi="Garamond"/>
          <w:b/>
          <w:bCs/>
          <w:sz w:val="28"/>
          <w:szCs w:val="28"/>
        </w:rPr>
        <w:t>Second possible response: identity characteristics can count as a qualification for a job in certain situations</w:t>
      </w:r>
      <w:r>
        <w:rPr>
          <w:rFonts w:ascii="Garamond" w:hAnsi="Garamond"/>
          <w:sz w:val="28"/>
          <w:szCs w:val="28"/>
        </w:rPr>
        <w:t xml:space="preserve">. This resolves the dilemma by </w:t>
      </w:r>
      <w:r>
        <w:rPr>
          <w:rFonts w:ascii="Garamond" w:hAnsi="Garamond"/>
          <w:sz w:val="28"/>
          <w:szCs w:val="28"/>
        </w:rPr>
        <w:lastRenderedPageBreak/>
        <w:t>including identity characteristics into the set of traits which are permissible bases for judgments.</w:t>
      </w:r>
    </w:p>
    <w:p w14:paraId="15F00A6A" w14:textId="5E65D0AD" w:rsidR="00427D2F" w:rsidRDefault="00427D2F" w:rsidP="00427D2F">
      <w:pPr>
        <w:pStyle w:val="ListParagraph"/>
        <w:numPr>
          <w:ilvl w:val="1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Version </w:t>
      </w:r>
      <w:r w:rsidR="00A83940">
        <w:rPr>
          <w:rFonts w:ascii="Garamond" w:hAnsi="Garamond"/>
          <w:sz w:val="28"/>
          <w:szCs w:val="28"/>
        </w:rPr>
        <w:t>1</w:t>
      </w:r>
      <w:r>
        <w:rPr>
          <w:rFonts w:ascii="Garamond" w:hAnsi="Garamond"/>
          <w:sz w:val="28"/>
          <w:szCs w:val="28"/>
        </w:rPr>
        <w:t>: the role model argument. Members of identity-based groups can act as role models for other members of that group; this is both valuable, and something that cannot be done by others.</w:t>
      </w:r>
    </w:p>
    <w:p w14:paraId="196764B5" w14:textId="467A4F75" w:rsidR="00427D2F" w:rsidRDefault="00427D2F" w:rsidP="00427D2F">
      <w:pPr>
        <w:pStyle w:val="ListParagraph"/>
        <w:numPr>
          <w:ilvl w:val="2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Thomson thinks this is ‘plainly true’, as it provides students ‘evidence that those of their race or sex can become accepted, successful professionals’ (Thomson, 1973, </w:t>
      </w:r>
      <w:r w:rsidR="00276303">
        <w:rPr>
          <w:rFonts w:ascii="Garamond" w:hAnsi="Garamond"/>
          <w:sz w:val="28"/>
          <w:szCs w:val="28"/>
        </w:rPr>
        <w:t>368).</w:t>
      </w:r>
    </w:p>
    <w:p w14:paraId="79534CCE" w14:textId="77777777" w:rsidR="00CA0DBE" w:rsidRDefault="00C74A33" w:rsidP="00427D2F">
      <w:pPr>
        <w:pStyle w:val="ListParagraph"/>
        <w:numPr>
          <w:ilvl w:val="2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Two issues:</w:t>
      </w:r>
    </w:p>
    <w:p w14:paraId="2D78B16C" w14:textId="77777777" w:rsidR="00CA0DBE" w:rsidRDefault="00CA0DBE" w:rsidP="00CA0DBE">
      <w:pPr>
        <w:pStyle w:val="ListParagraph"/>
        <w:numPr>
          <w:ilvl w:val="3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Is this really an argument for positive discrimination?</w:t>
      </w:r>
    </w:p>
    <w:p w14:paraId="1A93A283" w14:textId="3CF04C9C" w:rsidR="00C74A33" w:rsidRPr="00CA0DBE" w:rsidRDefault="008F21B0" w:rsidP="00CA0DBE">
      <w:pPr>
        <w:pStyle w:val="ListParagraph"/>
        <w:numPr>
          <w:ilvl w:val="3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P</w:t>
      </w:r>
      <w:r w:rsidR="009432BD">
        <w:rPr>
          <w:rFonts w:ascii="Garamond" w:hAnsi="Garamond"/>
          <w:sz w:val="28"/>
          <w:szCs w:val="28"/>
        </w:rPr>
        <w:t>ossible p</w:t>
      </w:r>
      <w:r w:rsidR="00C74A33" w:rsidRPr="00CA0DBE">
        <w:rPr>
          <w:rFonts w:ascii="Garamond" w:hAnsi="Garamond"/>
          <w:sz w:val="28"/>
          <w:szCs w:val="28"/>
        </w:rPr>
        <w:t xml:space="preserve">atronising implications. Allen (1990, 38): ‘the argument makes it possible to assume that black women can be more competent than whites only insofar as they are better role models’. </w:t>
      </w:r>
    </w:p>
    <w:p w14:paraId="1563524D" w14:textId="3554AAC1" w:rsidR="00CA2363" w:rsidRDefault="00CA2363" w:rsidP="00CA2363">
      <w:pPr>
        <w:pStyle w:val="ListParagraph"/>
        <w:numPr>
          <w:ilvl w:val="1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Version </w:t>
      </w:r>
      <w:r w:rsidR="00A83940">
        <w:rPr>
          <w:rFonts w:ascii="Garamond" w:hAnsi="Garamond"/>
          <w:sz w:val="28"/>
          <w:szCs w:val="28"/>
        </w:rPr>
        <w:t>2</w:t>
      </w:r>
      <w:r>
        <w:rPr>
          <w:rFonts w:ascii="Garamond" w:hAnsi="Garamond"/>
          <w:sz w:val="28"/>
          <w:szCs w:val="28"/>
        </w:rPr>
        <w:t>: appeal to the benefits of diversity</w:t>
      </w:r>
    </w:p>
    <w:p w14:paraId="58BD38FE" w14:textId="74D3A84B" w:rsidR="00E57885" w:rsidRDefault="00E57885" w:rsidP="00E57885">
      <w:pPr>
        <w:pStyle w:val="ListParagraph"/>
        <w:numPr>
          <w:ilvl w:val="2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Sher</w:t>
      </w:r>
      <w:r w:rsidR="00301EEC">
        <w:rPr>
          <w:rFonts w:ascii="Garamond" w:hAnsi="Garamond"/>
          <w:sz w:val="28"/>
          <w:szCs w:val="28"/>
        </w:rPr>
        <w:t xml:space="preserve"> (1999, 89)</w:t>
      </w:r>
      <w:r>
        <w:rPr>
          <w:rFonts w:ascii="Garamond" w:hAnsi="Garamond"/>
          <w:sz w:val="28"/>
          <w:szCs w:val="28"/>
        </w:rPr>
        <w:t>: ‘preferential treatment is justified when, and because, it moves us closer to a situation in which the holders of every (desirable) type of job and position include representatives of all racial, sexual, and ethnic groups in rough proportion to their overall numbers’.</w:t>
      </w:r>
      <w:r w:rsidR="000C1DF8">
        <w:rPr>
          <w:rFonts w:ascii="Garamond" w:hAnsi="Garamond"/>
          <w:sz w:val="28"/>
          <w:szCs w:val="28"/>
        </w:rPr>
        <w:t xml:space="preserve"> </w:t>
      </w:r>
    </w:p>
    <w:p w14:paraId="5D686A08" w14:textId="7B0DE738" w:rsidR="000C1DF8" w:rsidRDefault="000C1DF8" w:rsidP="009D4A02">
      <w:pPr>
        <w:pStyle w:val="ListParagraph"/>
        <w:numPr>
          <w:ilvl w:val="2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Issue: it’s unclear why we should promote some perspectives or groups over others, even if we accep</w:t>
      </w:r>
      <w:r w:rsidRPr="009D4A02">
        <w:rPr>
          <w:rFonts w:ascii="Garamond" w:hAnsi="Garamond"/>
          <w:sz w:val="28"/>
          <w:szCs w:val="28"/>
        </w:rPr>
        <w:t>t the value of diversity as such.</w:t>
      </w:r>
    </w:p>
    <w:p w14:paraId="46456AFE" w14:textId="77777777" w:rsidR="000E7E6F" w:rsidRDefault="009D4A02" w:rsidP="009D4A02">
      <w:pPr>
        <w:pStyle w:val="ListParagraph"/>
        <w:numPr>
          <w:ilvl w:val="2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Obvious response here is that subjection to oppression generates epistemic </w:t>
      </w:r>
      <w:r w:rsidR="000E7E6F">
        <w:rPr>
          <w:rFonts w:ascii="Garamond" w:hAnsi="Garamond"/>
          <w:sz w:val="28"/>
          <w:szCs w:val="28"/>
        </w:rPr>
        <w:t>access which is otherwise difficult to come by.</w:t>
      </w:r>
    </w:p>
    <w:p w14:paraId="74B27F40" w14:textId="342BA335" w:rsidR="002377CC" w:rsidRDefault="000E7E6F" w:rsidP="002377CC">
      <w:pPr>
        <w:pStyle w:val="ListParagraph"/>
        <w:numPr>
          <w:ilvl w:val="2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But it’s unclear that the mix of beliefs and attitudes brought about by affirmative action policies are all-things-considered more conducive to enquiry than any of the mixes that might come about in the absence of those policies.</w:t>
      </w:r>
      <w:r w:rsidR="00B76B84">
        <w:rPr>
          <w:rFonts w:ascii="Garamond" w:hAnsi="Garamond"/>
          <w:sz w:val="28"/>
          <w:szCs w:val="28"/>
        </w:rPr>
        <w:t xml:space="preserve"> </w:t>
      </w:r>
    </w:p>
    <w:p w14:paraId="0FADBEA2" w14:textId="37DF4BEB" w:rsidR="002377CC" w:rsidRDefault="002377CC" w:rsidP="002377CC">
      <w:pPr>
        <w:rPr>
          <w:rFonts w:ascii="Garamond" w:hAnsi="Garamond"/>
          <w:sz w:val="28"/>
          <w:szCs w:val="28"/>
        </w:rPr>
      </w:pPr>
    </w:p>
    <w:p w14:paraId="788F2F00" w14:textId="62F04493" w:rsidR="008E5B77" w:rsidRDefault="002377CC" w:rsidP="008E5B77">
      <w:pPr>
        <w:pStyle w:val="ListParagraph"/>
        <w:numPr>
          <w:ilvl w:val="0"/>
          <w:numId w:val="1"/>
        </w:numPr>
        <w:rPr>
          <w:rFonts w:ascii="Garamond" w:hAnsi="Garamond"/>
          <w:sz w:val="28"/>
          <w:szCs w:val="28"/>
        </w:rPr>
      </w:pPr>
      <w:r w:rsidRPr="0064286F">
        <w:rPr>
          <w:rFonts w:ascii="Garamond" w:hAnsi="Garamond"/>
          <w:b/>
          <w:bCs/>
          <w:sz w:val="28"/>
          <w:szCs w:val="28"/>
        </w:rPr>
        <w:t xml:space="preserve">Third possible response: </w:t>
      </w:r>
      <w:r w:rsidR="00E90A24" w:rsidRPr="0064286F">
        <w:rPr>
          <w:rFonts w:ascii="Garamond" w:hAnsi="Garamond"/>
          <w:b/>
          <w:bCs/>
          <w:sz w:val="28"/>
          <w:szCs w:val="28"/>
        </w:rPr>
        <w:t>positive discrimination is a challenge to the notion of equality of opportunity</w:t>
      </w:r>
      <w:r w:rsidR="00E90A24">
        <w:rPr>
          <w:rFonts w:ascii="Garamond" w:hAnsi="Garamond"/>
          <w:sz w:val="28"/>
          <w:szCs w:val="28"/>
        </w:rPr>
        <w:t xml:space="preserve"> (Young).</w:t>
      </w:r>
    </w:p>
    <w:p w14:paraId="75BE469E" w14:textId="11B7E32F" w:rsidR="008E5B77" w:rsidRDefault="008E5B77" w:rsidP="008E5B77">
      <w:pPr>
        <w:pStyle w:val="ListParagraph"/>
        <w:numPr>
          <w:ilvl w:val="1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Positive discrimination </w:t>
      </w:r>
      <w:r>
        <w:rPr>
          <w:rFonts w:ascii="Garamond" w:hAnsi="Garamond"/>
          <w:i/>
          <w:iCs/>
          <w:sz w:val="28"/>
          <w:szCs w:val="28"/>
        </w:rPr>
        <w:t xml:space="preserve">is </w:t>
      </w:r>
      <w:r>
        <w:rPr>
          <w:rFonts w:ascii="Garamond" w:hAnsi="Garamond"/>
          <w:sz w:val="28"/>
          <w:szCs w:val="28"/>
        </w:rPr>
        <w:t>discriminatory, but it is nevertheless justified as a respond to ongoing oppression.</w:t>
      </w:r>
    </w:p>
    <w:p w14:paraId="6B31D498" w14:textId="51E88806" w:rsidR="008E5B77" w:rsidRDefault="008E5B77" w:rsidP="008E5B77">
      <w:pPr>
        <w:pStyle w:val="ListParagraph"/>
        <w:numPr>
          <w:ilvl w:val="1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Shift from thinking about discrimination as main component of group-based disadvantage, to identifying this as oppression.</w:t>
      </w:r>
    </w:p>
    <w:p w14:paraId="12E86421" w14:textId="2E1DA39C" w:rsidR="00A4676A" w:rsidRDefault="00A4676A" w:rsidP="00A4676A">
      <w:pPr>
        <w:pStyle w:val="ListParagraph"/>
        <w:numPr>
          <w:ilvl w:val="2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Young argues we should retain a narrow conception of discrimination, and recognise that this only covers a small range of the interactions which constitute or underwrite group-based wrongs.</w:t>
      </w:r>
    </w:p>
    <w:p w14:paraId="25133BEC" w14:textId="73B9FA3E" w:rsidR="00A4676A" w:rsidRDefault="00A4676A" w:rsidP="00A4676A">
      <w:pPr>
        <w:pStyle w:val="ListParagraph"/>
        <w:numPr>
          <w:ilvl w:val="2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This reduces the significance of the discriminatory element of positive discrimination, and relates the justification more directly to its capacity to erode these forms of oppression.</w:t>
      </w:r>
    </w:p>
    <w:p w14:paraId="6FFD7286" w14:textId="065C970C" w:rsidR="00A4676A" w:rsidRDefault="00A4676A" w:rsidP="00A4676A">
      <w:pPr>
        <w:pStyle w:val="ListParagraph"/>
        <w:numPr>
          <w:ilvl w:val="2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lastRenderedPageBreak/>
        <w:t>It also demonstrates the limitations of positive discrimination as a means of combatting that oppression – most notably, that it doesn’t question the basic structure of group privilege and oppression, or the composition of the division of labour.</w:t>
      </w:r>
    </w:p>
    <w:p w14:paraId="1B1F2268" w14:textId="77777777" w:rsidR="00A4676A" w:rsidRDefault="00A4676A" w:rsidP="00A4676A">
      <w:pPr>
        <w:rPr>
          <w:rFonts w:ascii="Garamond" w:hAnsi="Garamond"/>
          <w:sz w:val="28"/>
          <w:szCs w:val="28"/>
        </w:rPr>
      </w:pPr>
    </w:p>
    <w:p w14:paraId="47084F2D" w14:textId="173BBB65" w:rsidR="00A4676A" w:rsidRDefault="00A4676A" w:rsidP="00A4676A">
      <w:pPr>
        <w:rPr>
          <w:rFonts w:ascii="Garamond" w:hAnsi="Garamond"/>
          <w:b/>
          <w:bCs/>
          <w:sz w:val="28"/>
          <w:szCs w:val="28"/>
        </w:rPr>
      </w:pPr>
      <w:r>
        <w:rPr>
          <w:rFonts w:ascii="Garamond" w:hAnsi="Garamond"/>
          <w:b/>
          <w:bCs/>
          <w:sz w:val="28"/>
          <w:szCs w:val="28"/>
        </w:rPr>
        <w:t>References</w:t>
      </w:r>
    </w:p>
    <w:p w14:paraId="73EB5D24" w14:textId="77777777" w:rsidR="00A4676A" w:rsidRDefault="00A4676A" w:rsidP="00A4676A">
      <w:pPr>
        <w:rPr>
          <w:rFonts w:ascii="Garamond" w:hAnsi="Garamond"/>
          <w:b/>
          <w:bCs/>
          <w:sz w:val="28"/>
          <w:szCs w:val="28"/>
        </w:rPr>
      </w:pPr>
    </w:p>
    <w:p w14:paraId="2421681E" w14:textId="03AACCE7" w:rsidR="00A4676A" w:rsidRDefault="00A4676A" w:rsidP="00A4676A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Allen, A. (1990) ‘On Being a Role Model’</w:t>
      </w:r>
    </w:p>
    <w:p w14:paraId="704AF459" w14:textId="61FF8CAB" w:rsidR="00991A9C" w:rsidRDefault="00991A9C" w:rsidP="00A4676A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Arneson, R. (2006) ‘What is Wrongful Discrimination?’</w:t>
      </w:r>
    </w:p>
    <w:p w14:paraId="1D0C6421" w14:textId="0FB07FBD" w:rsidR="00991A9C" w:rsidRDefault="00991A9C" w:rsidP="00A4676A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Lippert-Rasmussen, K. (2006) ‘The Badness of Discrimination’</w:t>
      </w:r>
    </w:p>
    <w:p w14:paraId="07EE4F98" w14:textId="537F917B" w:rsidR="005A7337" w:rsidRPr="005A7337" w:rsidRDefault="005A7337" w:rsidP="00A4676A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Lippert-Rasmussen, K. (2020) </w:t>
      </w:r>
      <w:r>
        <w:rPr>
          <w:rFonts w:ascii="Garamond" w:hAnsi="Garamond"/>
          <w:i/>
          <w:iCs/>
          <w:sz w:val="28"/>
          <w:szCs w:val="28"/>
        </w:rPr>
        <w:t>Making Sense of Affirmative Action</w:t>
      </w:r>
      <w:r>
        <w:rPr>
          <w:rFonts w:ascii="Garamond" w:hAnsi="Garamond"/>
          <w:sz w:val="28"/>
          <w:szCs w:val="28"/>
        </w:rPr>
        <w:t xml:space="preserve">. </w:t>
      </w:r>
    </w:p>
    <w:p w14:paraId="43564FE6" w14:textId="1DF6D1C9" w:rsidR="00991A9C" w:rsidRDefault="00991A9C" w:rsidP="00A4676A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Sher, G. (1999) ‘Diversity’</w:t>
      </w:r>
    </w:p>
    <w:p w14:paraId="4AC8A76A" w14:textId="23C45630" w:rsidR="00A4676A" w:rsidRDefault="00991A9C" w:rsidP="00A4676A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Thomson, J. J. (1973) ‘Preferential Hiring’</w:t>
      </w:r>
    </w:p>
    <w:p w14:paraId="1F3BD5DE" w14:textId="0A5E273A" w:rsidR="00A4676A" w:rsidRPr="00A4676A" w:rsidRDefault="00A4676A" w:rsidP="00A4676A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Young, I. M. (2012) ‘Affirmative Action and the Myth of Merit’</w:t>
      </w:r>
    </w:p>
    <w:sectPr w:rsidR="00A4676A" w:rsidRPr="00A4676A">
      <w:headerReference w:type="even" r:id="rId7"/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4A3E3B" w14:textId="77777777" w:rsidR="0091159C" w:rsidRDefault="0091159C" w:rsidP="00E90A24">
      <w:r>
        <w:separator/>
      </w:r>
    </w:p>
  </w:endnote>
  <w:endnote w:type="continuationSeparator" w:id="0">
    <w:p w14:paraId="57401146" w14:textId="77777777" w:rsidR="0091159C" w:rsidRDefault="0091159C" w:rsidP="00E90A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B0EBFC" w14:textId="77777777" w:rsidR="0091159C" w:rsidRDefault="0091159C" w:rsidP="00E90A24">
      <w:r>
        <w:separator/>
      </w:r>
    </w:p>
  </w:footnote>
  <w:footnote w:type="continuationSeparator" w:id="0">
    <w:p w14:paraId="045CF45C" w14:textId="77777777" w:rsidR="0091159C" w:rsidRDefault="0091159C" w:rsidP="00E90A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33518193"/>
      <w:docPartObj>
        <w:docPartGallery w:val="Page Numbers (Top of Page)"/>
        <w:docPartUnique/>
      </w:docPartObj>
    </w:sdtPr>
    <w:sdtContent>
      <w:p w14:paraId="2291D7CC" w14:textId="1F226E7F" w:rsidR="00E90A24" w:rsidRDefault="00E90A24" w:rsidP="002C4F24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410E3D2" w14:textId="77777777" w:rsidR="00E90A24" w:rsidRDefault="00E90A24" w:rsidP="00E90A24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00156135"/>
      <w:docPartObj>
        <w:docPartGallery w:val="Page Numbers (Top of Page)"/>
        <w:docPartUnique/>
      </w:docPartObj>
    </w:sdtPr>
    <w:sdtContent>
      <w:p w14:paraId="0B005E85" w14:textId="107D1F41" w:rsidR="00E90A24" w:rsidRDefault="00E90A24" w:rsidP="002C4F24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059B4E5" w14:textId="345B590B" w:rsidR="00E90A24" w:rsidRDefault="00102740" w:rsidP="00E90A24">
    <w:pPr>
      <w:pStyle w:val="Header"/>
      <w:ind w:right="360"/>
    </w:pPr>
    <w:r w:rsidRPr="003A3FFC">
      <w:rPr>
        <w:rFonts w:ascii="Garamond" w:hAnsi="Garamond"/>
        <w:sz w:val="28"/>
        <w:szCs w:val="28"/>
      </w:rPr>
      <w:t>Alexander</w:t>
    </w:r>
    <w:r w:rsidRPr="00116A88">
      <w:rPr>
        <w:rFonts w:ascii="Garamond" w:hAnsi="Garamond"/>
        <w:color w:val="000000" w:themeColor="text1"/>
        <w:sz w:val="28"/>
        <w:szCs w:val="28"/>
      </w:rPr>
      <w:t xml:space="preserve"> Bryan, </w:t>
    </w:r>
    <w:hyperlink r:id="rId1" w:history="1">
      <w:r w:rsidRPr="00116A88">
        <w:rPr>
          <w:rStyle w:val="Hyperlink"/>
          <w:rFonts w:ascii="Garamond" w:hAnsi="Garamond"/>
          <w:color w:val="000000" w:themeColor="text1"/>
          <w:sz w:val="28"/>
          <w:szCs w:val="28"/>
        </w:rPr>
        <w:t>ajb387@cam.ac.uk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AE21B6"/>
    <w:multiLevelType w:val="hybridMultilevel"/>
    <w:tmpl w:val="5ACA68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42851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FFC"/>
    <w:rsid w:val="000276CB"/>
    <w:rsid w:val="000720F6"/>
    <w:rsid w:val="00082E34"/>
    <w:rsid w:val="000C1DF8"/>
    <w:rsid w:val="000E7E6F"/>
    <w:rsid w:val="00102740"/>
    <w:rsid w:val="00105F2D"/>
    <w:rsid w:val="00116A88"/>
    <w:rsid w:val="001B0E32"/>
    <w:rsid w:val="001C0AA3"/>
    <w:rsid w:val="002377CC"/>
    <w:rsid w:val="00276303"/>
    <w:rsid w:val="002775F4"/>
    <w:rsid w:val="002B107F"/>
    <w:rsid w:val="002B1587"/>
    <w:rsid w:val="00301EEC"/>
    <w:rsid w:val="00361D61"/>
    <w:rsid w:val="003A3FFC"/>
    <w:rsid w:val="003E2811"/>
    <w:rsid w:val="00427D2F"/>
    <w:rsid w:val="004E7A7E"/>
    <w:rsid w:val="00590E7E"/>
    <w:rsid w:val="005A7337"/>
    <w:rsid w:val="005B54E1"/>
    <w:rsid w:val="005C118C"/>
    <w:rsid w:val="005D6711"/>
    <w:rsid w:val="0064286F"/>
    <w:rsid w:val="00661774"/>
    <w:rsid w:val="006A1C18"/>
    <w:rsid w:val="007F01EA"/>
    <w:rsid w:val="008E5B77"/>
    <w:rsid w:val="008F21B0"/>
    <w:rsid w:val="008F721E"/>
    <w:rsid w:val="0091159C"/>
    <w:rsid w:val="009432BD"/>
    <w:rsid w:val="00991A9C"/>
    <w:rsid w:val="009D4A02"/>
    <w:rsid w:val="00A41696"/>
    <w:rsid w:val="00A4676A"/>
    <w:rsid w:val="00A837FE"/>
    <w:rsid w:val="00A83940"/>
    <w:rsid w:val="00B76B84"/>
    <w:rsid w:val="00C05F59"/>
    <w:rsid w:val="00C74A33"/>
    <w:rsid w:val="00C850CD"/>
    <w:rsid w:val="00CA0DBE"/>
    <w:rsid w:val="00CA2363"/>
    <w:rsid w:val="00CB07CA"/>
    <w:rsid w:val="00CE1DF0"/>
    <w:rsid w:val="00D32EAC"/>
    <w:rsid w:val="00DD5C26"/>
    <w:rsid w:val="00E43306"/>
    <w:rsid w:val="00E57885"/>
    <w:rsid w:val="00E90A24"/>
    <w:rsid w:val="00EF6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266091"/>
  <w15:chartTrackingRefBased/>
  <w15:docId w15:val="{37EF92C9-76D5-B143-9E5F-FD4B694D6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3F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A3FF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850C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90A2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90A24"/>
  </w:style>
  <w:style w:type="paragraph" w:styleId="Footer">
    <w:name w:val="footer"/>
    <w:basedOn w:val="Normal"/>
    <w:link w:val="FooterChar"/>
    <w:uiPriority w:val="99"/>
    <w:unhideWhenUsed/>
    <w:rsid w:val="00E90A2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90A24"/>
  </w:style>
  <w:style w:type="character" w:styleId="PageNumber">
    <w:name w:val="page number"/>
    <w:basedOn w:val="DefaultParagraphFont"/>
    <w:uiPriority w:val="99"/>
    <w:semiHidden/>
    <w:unhideWhenUsed/>
    <w:rsid w:val="00E90A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ajb387@cam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3</Pages>
  <Words>760</Words>
  <Characters>4336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Bryan</dc:creator>
  <cp:keywords/>
  <dc:description/>
  <cp:lastModifiedBy>Alexander Bryan</cp:lastModifiedBy>
  <cp:revision>35</cp:revision>
  <dcterms:created xsi:type="dcterms:W3CDTF">2024-01-03T14:59:00Z</dcterms:created>
  <dcterms:modified xsi:type="dcterms:W3CDTF">2026-02-12T19:31:00Z</dcterms:modified>
</cp:coreProperties>
</file>